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pPr>
      <w:r>
        <w:rPr>
          <w:rFonts w:ascii="Arial" w:cs="Arial" w:eastAsia="Arial" w:hAnsi="Arial"/>
          <w:b/>
          <w:bCs/>
          <w:caps/>
          <w:color w:val="2563A8"/>
          <w:sz w:val="18"/>
          <w:szCs w:val="18"/>
        </w:rPr>
        <w:t xml:space="preserve">ARTICLE 1.6  ·  ISO 27001 OVERVIEW</w:t>
      </w:r>
    </w:p>
    <w:p>
      <w:pPr>
        <w:pStyle w:val="Heading1"/>
        <w:spacing w:after="120"/>
      </w:pPr>
      <w:r>
        <w:rPr>
          <w:rFonts w:ascii="Arial" w:cs="Arial" w:eastAsia="Arial" w:hAnsi="Arial"/>
          <w:b/>
          <w:bCs/>
          <w:color w:val="1B3A5C"/>
          <w:sz w:val="44"/>
          <w:szCs w:val="44"/>
        </w:rPr>
        <w:t xml:space="preserve">Who Should Implement ISO 27001?</w:t>
      </w:r>
    </w:p>
    <w:p>
      <w:pPr>
        <w:spacing w:after="60"/>
      </w:pPr>
      <w:r>
        <w:rPr>
          <w:rFonts w:ascii="Georgia" w:cs="Georgia" w:eastAsia="Georgia" w:hAnsi="Georgia"/>
          <w:i/>
          <w:iCs/>
          <w:color w:val="4B5563"/>
          <w:sz w:val="24"/>
          <w:szCs w:val="24"/>
        </w:rPr>
        <w:t xml:space="preserve">A practical guide to which organizations, industries, and organizational sizes are best positioned to benefit from ISO 27001 implementation — and the honest cases where it is not yet the right move.</w:t>
      </w:r>
    </w:p>
    <w:p>
      <w:pPr>
        <w:spacing w:after="40"/>
      </w:pPr>
      <w:r>
        <w:rPr>
          <w:rFonts w:ascii="Arial" w:cs="Arial" w:eastAsia="Arial" w:hAnsi="Arial"/>
          <w:color w:val="9CA3AF"/>
          <w:sz w:val="18"/>
          <w:szCs w:val="18"/>
        </w:rPr>
        <w:t xml:space="preserve">Bitlion GRC Documentation  ·  Updated March 2026  ·  Reading time: ~15 minutes</w:t>
      </w:r>
    </w:p>
    <w:p>
      <w:pPr>
        <w:pBdr>
          <w:bottom w:val="single" w:color="D1D5DB" w:sz="2" w:space="1"/>
        </w:pBdr>
        <w:spacing w:after="200" w:before="200"/>
      </w:pPr>
      <w:r>
        <w:t xml:space="preserve"/>
      </w:r>
    </w:p>
    <w:p>
      <w:pPr>
        <w:spacing w:after="100"/>
      </w:pPr>
      <w:r>
        <w:t xml:space="preserve"/>
      </w:r>
    </w:p>
    <w:p>
      <w:pPr>
        <w:spacing w:after="160" w:line="320"/>
        <w:jc w:val="both"/>
      </w:pPr>
      <w:r>
        <w:rPr>
          <w:rFonts w:ascii="Georgia" w:cs="Georgia" w:eastAsia="Georgia" w:hAnsi="Georgia"/>
          <w:color w:val="111827"/>
          <w:sz w:val="22"/>
          <w:szCs w:val="22"/>
        </w:rPr>
        <w:t xml:space="preserve">The question sounds simple: who should implement ISO 27001? But the honest answer is more nuanced than "any organization that handles information" — which is technically everyone with a laptop and an internet connection.</w:t>
      </w:r>
    </w:p>
    <w:p>
      <w:pPr>
        <w:spacing w:after="80"/>
      </w:pPr>
      <w:r>
        <w:t xml:space="preserve"/>
      </w:r>
    </w:p>
    <w:p>
      <w:pPr>
        <w:spacing w:after="160" w:line="320"/>
        <w:jc w:val="both"/>
      </w:pPr>
      <w:r>
        <w:rPr>
          <w:rFonts w:ascii="Georgia" w:cs="Georgia" w:eastAsia="Georgia" w:hAnsi="Georgia"/>
          <w:color w:val="111827"/>
          <w:sz w:val="22"/>
          <w:szCs w:val="22"/>
        </w:rPr>
        <w:t xml:space="preserve">ISO 27001 implementation is a serious undertaking. Done well, it requires management commitment, dedicated resources, a stable operational scope, and genuine organizational will to build something that functions rather than just appears on paper. Organizations that start without these preconditions tend to produce ISMS documentation that satisfies no one — not auditors, not regulators, and certainly not their own security posture.</w:t>
      </w:r>
    </w:p>
    <w:p>
      <w:pPr>
        <w:spacing w:after="80"/>
      </w:pPr>
      <w:r>
        <w:t xml:space="preserve"/>
      </w:r>
    </w:p>
    <w:p>
      <w:pPr>
        <w:spacing w:after="160" w:line="320"/>
        <w:jc w:val="both"/>
      </w:pPr>
      <w:r>
        <w:rPr>
          <w:rFonts w:ascii="Georgia" w:cs="Georgia" w:eastAsia="Georgia" w:hAnsi="Georgia"/>
          <w:color w:val="111827"/>
          <w:sz w:val="22"/>
          <w:szCs w:val="22"/>
        </w:rPr>
        <w:t xml:space="preserve">This article is deliberately practical. It identifies the sectors and situations where ISO 27001 implementation is genuinely urgent, examines how organizational size affects the implementation approach, provides a readiness self-assessment, and — equally important — names the scenarios where an organization should wait, build prerequisites first, and approach certification when the conditions for success are actually in place.</w:t>
      </w:r>
    </w:p>
    <w:p>
      <w:pPr>
        <w:spacing w:after="200"/>
      </w:pPr>
      <w:r>
        <w:t xml:space="preserve"/>
      </w:r>
    </w:p>
    <w:p>
      <w:pPr>
        <w:pStyle w:val="Heading2"/>
        <w:pBdr>
          <w:bottom w:val="single" w:color="2563A8" w:sz="4" w:space="4"/>
        </w:pBdr>
        <w:spacing w:after="160" w:before="400"/>
      </w:pPr>
      <w:r>
        <w:rPr>
          <w:rFonts w:ascii="Arial" w:cs="Arial" w:eastAsia="Arial" w:hAnsi="Arial"/>
          <w:b/>
          <w:bCs/>
          <w:color w:val="1B3A5C"/>
          <w:sz w:val="28"/>
          <w:szCs w:val="28"/>
        </w:rPr>
        <w:t xml:space="preserve">The Three Categories of Organizations</w:t>
      </w:r>
    </w:p>
    <w:p>
      <w:pPr>
        <w:spacing w:after="80"/>
      </w:pPr>
      <w:r>
        <w:t xml:space="preserve"/>
      </w:r>
    </w:p>
    <w:p>
      <w:pPr>
        <w:spacing w:after="160" w:line="320"/>
        <w:jc w:val="both"/>
      </w:pPr>
      <w:r>
        <w:rPr>
          <w:rFonts w:ascii="Georgia" w:cs="Georgia" w:eastAsia="Georgia" w:hAnsi="Georgia"/>
          <w:color w:val="111827"/>
          <w:sz w:val="22"/>
          <w:szCs w:val="22"/>
        </w:rPr>
        <w:t xml:space="preserve">The most useful way to think about ISO 27001 readiness is not by industry or size alone, but by the combination of regulatory pressure, market necessity, and organizational readiness. This produces three broad categories.</w:t>
      </w:r>
    </w:p>
    <w:p>
      <w:pPr>
        <w:spacing w:after="120"/>
      </w:pPr>
      <w:r>
        <w:t xml:space="preserve"/>
      </w:r>
    </w:p>
    <w:p>
      <w:pPr>
        <w:pStyle w:val="Heading3"/>
        <w:spacing w:after="120" w:before="280"/>
      </w:pPr>
      <w:r>
        <w:rPr>
          <w:rFonts w:ascii="Arial" w:cs="Arial" w:eastAsia="Arial" w:hAnsi="Arial"/>
          <w:b/>
          <w:bCs/>
          <w:color w:val="2563A8"/>
          <w:sz w:val="24"/>
          <w:szCs w:val="24"/>
        </w:rPr>
        <w:t xml:space="preserve">Category 1: Should Implement — Regulatory or Market Obligation</w:t>
      </w:r>
    </w:p>
    <w:p>
      <w:pPr>
        <w:spacing w:after="80"/>
      </w:pPr>
      <w:r>
        <w:t xml:space="preserve"/>
      </w:r>
    </w:p>
    <w:p>
      <w:pPr>
        <w:spacing w:after="160" w:line="320"/>
        <w:jc w:val="both"/>
      </w:pPr>
      <w:r>
        <w:rPr>
          <w:rFonts w:ascii="Georgia" w:cs="Georgia" w:eastAsia="Georgia" w:hAnsi="Georgia"/>
          <w:color w:val="111827"/>
          <w:sz w:val="22"/>
          <w:szCs w:val="22"/>
        </w:rPr>
        <w:t xml:space="preserve">For these organizations, ISO 27001 is not optional in any meaningful sense. Regulatory frameworks they are subject to either require a documented ISMS or reference ISO 27001 directly. Enterprise clients or government procurement requirements are actively blocking business without certification. The question for these organizations is not whether to implement — it is how fast and in what scope.</w:t>
      </w:r>
    </w:p>
    <w:p>
      <w:pPr>
        <w:spacing w:after="80"/>
      </w:pPr>
      <w:r>
        <w:t xml:space="preserve"/>
      </w:r>
    </w:p>
    <w:p>
      <w:pPr>
        <w:pStyle w:val="ListParagraph"/>
        <w:numPr>
          <w:ilvl w:val="0"/>
          <w:numId w:val="2"/>
        </w:numPr>
        <w:spacing w:after="100"/>
      </w:pPr>
      <w:r>
        <w:rPr>
          <w:rFonts w:ascii="Georgia" w:cs="Georgia" w:eastAsia="Georgia" w:hAnsi="Georgia"/>
          <w:color w:val="111827"/>
          <w:sz w:val="22"/>
          <w:szCs w:val="22"/>
        </w:rPr>
        <w:t xml:space="preserve">Financial services companies regulated by OJK — banks, multifinance, insurance, securities firms</w:t>
      </w:r>
    </w:p>
    <w:p>
      <w:pPr>
        <w:pStyle w:val="ListParagraph"/>
        <w:numPr>
          <w:ilvl w:val="0"/>
          <w:numId w:val="2"/>
        </w:numPr>
        <w:spacing w:after="100"/>
      </w:pPr>
      <w:r>
        <w:rPr>
          <w:rFonts w:ascii="Georgia" w:cs="Georgia" w:eastAsia="Georgia" w:hAnsi="Georgia"/>
          <w:color w:val="111827"/>
          <w:sz w:val="22"/>
          <w:szCs w:val="22"/>
        </w:rPr>
        <w:t xml:space="preserve">Payment system operators and e-money issuers regulated by Bank Indonesia</w:t>
      </w:r>
    </w:p>
    <w:p>
      <w:pPr>
        <w:pStyle w:val="ListParagraph"/>
        <w:numPr>
          <w:ilvl w:val="0"/>
          <w:numId w:val="2"/>
        </w:numPr>
        <w:spacing w:after="100"/>
      </w:pPr>
      <w:r>
        <w:rPr>
          <w:rFonts w:ascii="Georgia" w:cs="Georgia" w:eastAsia="Georgia" w:hAnsi="Georgia"/>
          <w:color w:val="111827"/>
          <w:sz w:val="22"/>
          <w:szCs w:val="22"/>
        </w:rPr>
        <w:t xml:space="preserve">Fintech companies applying for or holding BI or OJK licenses</w:t>
      </w:r>
    </w:p>
    <w:p>
      <w:pPr>
        <w:pStyle w:val="ListParagraph"/>
        <w:numPr>
          <w:ilvl w:val="0"/>
          <w:numId w:val="2"/>
        </w:numPr>
        <w:spacing w:after="100"/>
      </w:pPr>
      <w:r>
        <w:rPr>
          <w:rFonts w:ascii="Georgia" w:cs="Georgia" w:eastAsia="Georgia" w:hAnsi="Georgia"/>
          <w:color w:val="111827"/>
          <w:sz w:val="22"/>
          <w:szCs w:val="22"/>
        </w:rPr>
        <w:t xml:space="preserve">Healthcare organizations handling patient data under UU PDP obligations</w:t>
      </w:r>
    </w:p>
    <w:p>
      <w:pPr>
        <w:pStyle w:val="ListParagraph"/>
        <w:numPr>
          <w:ilvl w:val="0"/>
          <w:numId w:val="2"/>
        </w:numPr>
        <w:spacing w:after="100"/>
      </w:pPr>
      <w:r>
        <w:rPr>
          <w:rFonts w:ascii="Georgia" w:cs="Georgia" w:eastAsia="Georgia" w:hAnsi="Georgia"/>
          <w:color w:val="111827"/>
          <w:sz w:val="22"/>
          <w:szCs w:val="22"/>
        </w:rPr>
        <w:t xml:space="preserve">Cloud and IT service providers with enterprise or government financial sector clients</w:t>
      </w:r>
    </w:p>
    <w:p>
      <w:pPr>
        <w:pStyle w:val="ListParagraph"/>
        <w:numPr>
          <w:ilvl w:val="0"/>
          <w:numId w:val="2"/>
        </w:numPr>
        <w:spacing w:after="100"/>
      </w:pPr>
      <w:r>
        <w:rPr>
          <w:rFonts w:ascii="Georgia" w:cs="Georgia" w:eastAsia="Georgia" w:hAnsi="Georgia"/>
          <w:color w:val="111827"/>
          <w:sz w:val="22"/>
          <w:szCs w:val="22"/>
        </w:rPr>
        <w:t xml:space="preserve">Critical information infrastructure operators identified by BSSN</w:t>
      </w:r>
    </w:p>
    <w:p>
      <w:pPr>
        <w:pStyle w:val="ListParagraph"/>
        <w:numPr>
          <w:ilvl w:val="0"/>
          <w:numId w:val="2"/>
        </w:numPr>
        <w:spacing w:after="100"/>
      </w:pPr>
      <w:r>
        <w:rPr>
          <w:rFonts w:ascii="Georgia" w:cs="Georgia" w:eastAsia="Georgia" w:hAnsi="Georgia"/>
          <w:color w:val="111827"/>
          <w:sz w:val="22"/>
          <w:szCs w:val="22"/>
        </w:rPr>
        <w:t xml:space="preserve">Government technology vendors active in or pursuing national and regional procurement</w:t>
      </w:r>
    </w:p>
    <w:p>
      <w:pPr>
        <w:spacing w:after="160"/>
      </w:pPr>
      <w:r>
        <w:t xml:space="preserve"/>
      </w:r>
    </w:p>
    <w:p>
      <w:pPr>
        <w:pStyle w:val="Heading3"/>
        <w:spacing w:after="120" w:before="280"/>
      </w:pPr>
      <w:r>
        <w:rPr>
          <w:rFonts w:ascii="Arial" w:cs="Arial" w:eastAsia="Arial" w:hAnsi="Arial"/>
          <w:b/>
          <w:bCs/>
          <w:color w:val="2563A8"/>
          <w:sz w:val="24"/>
          <w:szCs w:val="24"/>
        </w:rPr>
        <w:t xml:space="preserve">Category 2: Should Implement — Strong Strategic Case</w:t>
      </w:r>
    </w:p>
    <w:p>
      <w:pPr>
        <w:spacing w:after="80"/>
      </w:pPr>
      <w:r>
        <w:t xml:space="preserve"/>
      </w:r>
    </w:p>
    <w:p>
      <w:pPr>
        <w:spacing w:after="160" w:line="320"/>
        <w:jc w:val="both"/>
      </w:pPr>
      <w:r>
        <w:rPr>
          <w:rFonts w:ascii="Georgia" w:cs="Georgia" w:eastAsia="Georgia" w:hAnsi="Georgia"/>
          <w:color w:val="111827"/>
          <w:sz w:val="22"/>
          <w:szCs w:val="22"/>
        </w:rPr>
        <w:t xml:space="preserve">For these organizations, ISO 27001 is not yet mandated but the strategic case is clear and the cost of delay is increasing. Enterprise clients are asking for it. Competitors are getting certified. The regulatory window is narrowing. These organizations benefit most from implementing proactively — before certification becomes reactive damage control.</w:t>
      </w:r>
    </w:p>
    <w:p>
      <w:pPr>
        <w:spacing w:after="80"/>
      </w:pPr>
      <w:r>
        <w:t xml:space="preserve"/>
      </w:r>
    </w:p>
    <w:p>
      <w:pPr>
        <w:pStyle w:val="ListParagraph"/>
        <w:numPr>
          <w:ilvl w:val="0"/>
          <w:numId w:val="2"/>
        </w:numPr>
        <w:spacing w:after="100"/>
      </w:pPr>
      <w:r>
        <w:rPr>
          <w:rFonts w:ascii="Georgia" w:cs="Georgia" w:eastAsia="Georgia" w:hAnsi="Georgia"/>
          <w:color w:val="111827"/>
          <w:sz w:val="22"/>
          <w:szCs w:val="22"/>
        </w:rPr>
        <w:t xml:space="preserve">Technology companies scaling from startup to growth stage with enterprise client ambitions</w:t>
      </w:r>
    </w:p>
    <w:p>
      <w:pPr>
        <w:pStyle w:val="ListParagraph"/>
        <w:numPr>
          <w:ilvl w:val="0"/>
          <w:numId w:val="2"/>
        </w:numPr>
        <w:spacing w:after="100"/>
      </w:pPr>
      <w:r>
        <w:rPr>
          <w:rFonts w:ascii="Georgia" w:cs="Georgia" w:eastAsia="Georgia" w:hAnsi="Georgia"/>
          <w:color w:val="111827"/>
          <w:sz w:val="22"/>
          <w:szCs w:val="22"/>
        </w:rPr>
        <w:t xml:space="preserve">SaaS and cloud providers without current regulated sector clients but with pipeline growth targets</w:t>
      </w:r>
    </w:p>
    <w:p>
      <w:pPr>
        <w:pStyle w:val="ListParagraph"/>
        <w:numPr>
          <w:ilvl w:val="0"/>
          <w:numId w:val="2"/>
        </w:numPr>
        <w:spacing w:after="100"/>
      </w:pPr>
      <w:r>
        <w:rPr>
          <w:rFonts w:ascii="Georgia" w:cs="Georgia" w:eastAsia="Georgia" w:hAnsi="Georgia"/>
          <w:color w:val="111827"/>
          <w:sz w:val="22"/>
          <w:szCs w:val="22"/>
        </w:rPr>
        <w:t xml:space="preserve">Indonesian companies preparing for international expansion into Singapore, Australia, or Europe</w:t>
      </w:r>
    </w:p>
    <w:p>
      <w:pPr>
        <w:pStyle w:val="ListParagraph"/>
        <w:numPr>
          <w:ilvl w:val="0"/>
          <w:numId w:val="2"/>
        </w:numPr>
        <w:spacing w:after="100"/>
      </w:pPr>
      <w:r>
        <w:rPr>
          <w:rFonts w:ascii="Georgia" w:cs="Georgia" w:eastAsia="Georgia" w:hAnsi="Georgia"/>
          <w:color w:val="111827"/>
          <w:sz w:val="22"/>
          <w:szCs w:val="22"/>
        </w:rPr>
        <w:t xml:space="preserve">Professional services firms handling confidential client data — consulting, legal, accounting</w:t>
      </w:r>
    </w:p>
    <w:p>
      <w:pPr>
        <w:pStyle w:val="ListParagraph"/>
        <w:numPr>
          <w:ilvl w:val="0"/>
          <w:numId w:val="2"/>
        </w:numPr>
        <w:spacing w:after="100"/>
      </w:pPr>
      <w:r>
        <w:rPr>
          <w:rFonts w:ascii="Georgia" w:cs="Georgia" w:eastAsia="Georgia" w:hAnsi="Georgia"/>
          <w:color w:val="111827"/>
          <w:sz w:val="22"/>
          <w:szCs w:val="22"/>
        </w:rPr>
        <w:t xml:space="preserve">Logistics and supply chain companies processing significant personal data volumes</w:t>
      </w:r>
    </w:p>
    <w:p>
      <w:pPr>
        <w:pStyle w:val="ListParagraph"/>
        <w:numPr>
          <w:ilvl w:val="0"/>
          <w:numId w:val="2"/>
        </w:numPr>
        <w:spacing w:after="100"/>
      </w:pPr>
      <w:r>
        <w:rPr>
          <w:rFonts w:ascii="Georgia" w:cs="Georgia" w:eastAsia="Georgia" w:hAnsi="Georgia"/>
          <w:color w:val="111827"/>
          <w:sz w:val="22"/>
          <w:szCs w:val="22"/>
        </w:rPr>
        <w:t xml:space="preserve">Educational institutions and EdTech platforms handling student and staff personal data at scale</w:t>
      </w:r>
    </w:p>
    <w:p>
      <w:pPr>
        <w:spacing w:after="160"/>
      </w:pPr>
      <w:r>
        <w:t xml:space="preserve"/>
      </w:r>
    </w:p>
    <w:p>
      <w:pPr>
        <w:pStyle w:val="Heading3"/>
        <w:spacing w:after="120" w:before="280"/>
      </w:pPr>
      <w:r>
        <w:rPr>
          <w:rFonts w:ascii="Arial" w:cs="Arial" w:eastAsia="Arial" w:hAnsi="Arial"/>
          <w:b/>
          <w:bCs/>
          <w:color w:val="2563A8"/>
          <w:sz w:val="24"/>
          <w:szCs w:val="24"/>
        </w:rPr>
        <w:t xml:space="preserve">Category 3: Build Prerequisites First</w:t>
      </w:r>
    </w:p>
    <w:p>
      <w:pPr>
        <w:spacing w:after="80"/>
      </w:pPr>
      <w:r>
        <w:t xml:space="preserve"/>
      </w:r>
    </w:p>
    <w:p>
      <w:pPr>
        <w:spacing w:after="160" w:line="320"/>
        <w:jc w:val="both"/>
      </w:pPr>
      <w:r>
        <w:rPr>
          <w:rFonts w:ascii="Georgia" w:cs="Georgia" w:eastAsia="Georgia" w:hAnsi="Georgia"/>
          <w:color w:val="111827"/>
          <w:sz w:val="22"/>
          <w:szCs w:val="22"/>
        </w:rPr>
        <w:t xml:space="preserve">These organizations have legitimate reasons to think about ISO 27001 in the future — but attempting certification now would be premature. The smart move is to address the prerequisite gaps first, then implement when the conditions for a successful, operationally real ISMS are in place.</w:t>
      </w:r>
    </w:p>
    <w:p>
      <w:pPr>
        <w:spacing w:after="80"/>
      </w:pPr>
      <w:r>
        <w:t xml:space="preserve"/>
      </w:r>
    </w:p>
    <w:p>
      <w:pPr>
        <w:pStyle w:val="ListParagraph"/>
        <w:numPr>
          <w:ilvl w:val="0"/>
          <w:numId w:val="2"/>
        </w:numPr>
        <w:spacing w:after="100"/>
      </w:pPr>
      <w:r>
        <w:rPr>
          <w:rFonts w:ascii="Georgia" w:cs="Georgia" w:eastAsia="Georgia" w:hAnsi="Georgia"/>
          <w:color w:val="111827"/>
          <w:sz w:val="22"/>
          <w:szCs w:val="22"/>
        </w:rPr>
        <w:t xml:space="preserve">Early-stage startups with fewer than 10 staff and no defined stable service scope</w:t>
      </w:r>
    </w:p>
    <w:p>
      <w:pPr>
        <w:pStyle w:val="ListParagraph"/>
        <w:numPr>
          <w:ilvl w:val="0"/>
          <w:numId w:val="2"/>
        </w:numPr>
        <w:spacing w:after="100"/>
      </w:pPr>
      <w:r>
        <w:rPr>
          <w:rFonts w:ascii="Georgia" w:cs="Georgia" w:eastAsia="Georgia" w:hAnsi="Georgia"/>
          <w:color w:val="111827"/>
          <w:sz w:val="22"/>
          <w:szCs w:val="22"/>
        </w:rPr>
        <w:t xml:space="preserve">Organizations with no management commitment to security investment</w:t>
      </w:r>
    </w:p>
    <w:p>
      <w:pPr>
        <w:pStyle w:val="ListParagraph"/>
        <w:numPr>
          <w:ilvl w:val="0"/>
          <w:numId w:val="2"/>
        </w:numPr>
        <w:spacing w:after="100"/>
      </w:pPr>
      <w:r>
        <w:rPr>
          <w:rFonts w:ascii="Georgia" w:cs="Georgia" w:eastAsia="Georgia" w:hAnsi="Georgia"/>
          <w:color w:val="111827"/>
          <w:sz w:val="22"/>
          <w:szCs w:val="22"/>
        </w:rPr>
        <w:t xml:space="preserve">Companies in active acquisition, merger, or major organizational restructuring</w:t>
      </w:r>
    </w:p>
    <w:p>
      <w:pPr>
        <w:pStyle w:val="ListParagraph"/>
        <w:numPr>
          <w:ilvl w:val="0"/>
          <w:numId w:val="2"/>
        </w:numPr>
        <w:spacing w:after="100"/>
      </w:pPr>
      <w:r>
        <w:rPr>
          <w:rFonts w:ascii="Georgia" w:cs="Georgia" w:eastAsia="Georgia" w:hAnsi="Georgia"/>
          <w:color w:val="111827"/>
          <w:sz w:val="22"/>
          <w:szCs w:val="22"/>
        </w:rPr>
        <w:t xml:space="preserve">Organizations with no existing security controls — where CIS Controls IG1 is the right first step</w:t>
      </w:r>
    </w:p>
    <w:p>
      <w:pPr>
        <w:pStyle w:val="ListParagraph"/>
        <w:numPr>
          <w:ilvl w:val="0"/>
          <w:numId w:val="2"/>
        </w:numPr>
        <w:spacing w:after="100"/>
      </w:pPr>
      <w:r>
        <w:rPr>
          <w:rFonts w:ascii="Georgia" w:cs="Georgia" w:eastAsia="Georgia" w:hAnsi="Georgia"/>
          <w:color w:val="111827"/>
          <w:sz w:val="22"/>
          <w:szCs w:val="22"/>
        </w:rPr>
        <w:t xml:space="preserve">Businesses where the only driver is generating a certificate without organizational intent</w:t>
      </w:r>
    </w:p>
    <w:p>
      <w:pPr>
        <w:spacing w:after="200"/>
      </w:pPr>
      <w:r>
        <w:t xml:space="preserve"/>
      </w:r>
    </w:p>
    <w:p>
      <w:pPr>
        <w:pStyle w:val="Heading2"/>
        <w:pBdr>
          <w:bottom w:val="single" w:color="2563A8" w:sz="4" w:space="4"/>
        </w:pBdr>
        <w:spacing w:after="160" w:before="400"/>
      </w:pPr>
      <w:r>
        <w:rPr>
          <w:rFonts w:ascii="Arial" w:cs="Arial" w:eastAsia="Arial" w:hAnsi="Arial"/>
          <w:b/>
          <w:bCs/>
          <w:color w:val="1B3A5C"/>
          <w:sz w:val="28"/>
          <w:szCs w:val="28"/>
        </w:rPr>
        <w:t xml:space="preserve">By Sector: The Indonesian Regulated Industry Landscape in 2026</w:t>
      </w:r>
    </w:p>
    <w:p>
      <w:pPr>
        <w:spacing w:after="80"/>
      </w:pPr>
      <w:r>
        <w:t xml:space="preserve"/>
      </w:r>
    </w:p>
    <w:p>
      <w:pPr>
        <w:spacing w:after="160" w:line="320"/>
        <w:jc w:val="both"/>
      </w:pPr>
      <w:r>
        <w:rPr>
          <w:rFonts w:ascii="Georgia" w:cs="Georgia" w:eastAsia="Georgia" w:hAnsi="Georgia"/>
          <w:color w:val="111827"/>
          <w:sz w:val="22"/>
          <w:szCs w:val="22"/>
        </w:rPr>
        <w:t xml:space="preserve">Within Indonesia's regulatory environment, different sectors face different urgency levels for ISO 27001 implementation. The profiles below reflect the actual regulatory and market conditions as of early 2026.</w:t>
      </w:r>
    </w:p>
    <w:p>
      <w:pPr>
        <w:spacing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E5E7EB" w:sz="1"/>
              <w:left w:val="single" w:color="E5E7EB" w:sz="1"/>
              <w:bottom w:val="none" w:color="FFFFFF" w:sz="0"/>
              <w:right w:val="single" w:color="E5E7EB" w:sz="1"/>
            </w:tcBorders>
            <w:shd w:fill="1B3A5C" w:val="clear"/>
            <w:tcMar>
              <w:top w:type="dxa" w:w="130"/>
              <w:left w:type="dxa" w:w="200"/>
              <w:bottom w:type="dxa" w:w="130"/>
              <w:right w:type="dxa" w:w="200"/>
            </w:tcMar>
          </w:tcPr>
          <w:p>
            <w:pPr>
              <w:spacing w:after="40"/>
            </w:pPr>
            <w:r>
              <w:rPr>
                <w:rFonts w:ascii="Arial" w:cs="Arial" w:eastAsia="Arial" w:hAnsi="Arial"/>
                <w:b/>
                <w:bCs/>
                <w:color w:val="FFFFFF"/>
                <w:sz w:val="26"/>
                <w:szCs w:val="26"/>
              </w:rPr>
              <w:t xml:space="preserve">FS  Financial Services — Banks &amp; Multifinance</w:t>
            </w:r>
          </w:p>
          <w:p>
            <w:r>
              <w:rPr>
                <w:rFonts w:ascii="Arial" w:cs="Arial" w:eastAsia="Arial" w:hAnsi="Arial"/>
                <w:b/>
                <w:bCs/>
                <w:color w:val="D1FAE5"/>
                <w:sz w:val="19"/>
                <w:szCs w:val="19"/>
              </w:rPr>
              <w:t xml:space="preserve">Urgency: </w:t>
            </w:r>
            <w:r>
              <w:rPr>
                <w:rFonts w:ascii="Arial" w:cs="Arial" w:eastAsia="Arial" w:hAnsi="Arial"/>
                <w:b/>
                <w:bCs/>
                <w:color w:val="FCD34D"/>
                <w:sz w:val="19"/>
                <w:szCs w:val="19"/>
              </w:rPr>
              <w:t xml:space="preserve">CRITICAL</w:t>
            </w:r>
          </w:p>
        </w:tc>
      </w:tr>
      <w:tr>
        <w:tc>
          <w:tcPr>
            <w:tcW w:type="dxa" w:w="9360"/>
            <w:tcBorders>
              <w:top w:val="none" w:color="FFFFFF" w:sz="0"/>
              <w:left w:val="single" w:color="E5E7EB" w:sz="1"/>
              <w:bottom w:val="single" w:color="E5E7EB" w:sz="1"/>
              <w:right w:val="single" w:color="E5E7EB" w:sz="1"/>
            </w:tcBorders>
            <w:shd w:fill="EBF2FB" w:val="clear"/>
            <w:tcMar>
              <w:top w:type="dxa" w:w="130"/>
              <w:left w:type="dxa" w:w="200"/>
              <w:bottom w:type="dxa" w:w="130"/>
              <w:right w:type="dxa" w:w="200"/>
            </w:tcMar>
          </w:tcPr>
          <w:p>
            <w:pPr>
              <w:spacing w:after="70"/>
            </w:pPr>
            <w:r>
              <w:rPr>
                <w:rFonts w:ascii="Arial" w:cs="Arial" w:eastAsia="Arial" w:hAnsi="Arial"/>
                <w:b/>
                <w:bCs/>
                <w:color w:val="2563A8"/>
                <w:sz w:val="20"/>
                <w:szCs w:val="20"/>
              </w:rPr>
              <w:t xml:space="preserve">Regulatory driver: </w:t>
            </w:r>
            <w:r>
              <w:rPr>
                <w:rFonts w:ascii="Georgia" w:cs="Georgia" w:eastAsia="Georgia" w:hAnsi="Georgia"/>
                <w:color w:val="111827"/>
                <w:sz w:val="20"/>
                <w:szCs w:val="20"/>
              </w:rPr>
              <w:t xml:space="preserve">POJK 11/POJK.03/2022 requires IT risk management framework; OJK supervisory assessments evaluate ISMS maturity</w:t>
            </w:r>
          </w:p>
          <w:p>
            <w:pPr>
              <w:spacing w:after="70"/>
            </w:pPr>
            <w:r>
              <w:rPr>
                <w:rFonts w:ascii="Arial" w:cs="Arial" w:eastAsia="Arial" w:hAnsi="Arial"/>
                <w:b/>
                <w:bCs/>
                <w:color w:val="2563A8"/>
                <w:sz w:val="20"/>
                <w:szCs w:val="20"/>
              </w:rPr>
              <w:t xml:space="preserve">Business driver: </w:t>
            </w:r>
            <w:r>
              <w:rPr>
                <w:rFonts w:ascii="Georgia" w:cs="Georgia" w:eastAsia="Georgia" w:hAnsi="Georgia"/>
                <w:color w:val="111827"/>
                <w:sz w:val="20"/>
                <w:szCs w:val="20"/>
              </w:rPr>
              <w:t xml:space="preserve">Enterprise and government clients require vendor certification; international correspondent bank relationships demand security assurance</w:t>
            </w:r>
          </w:p>
          <w:p>
            <w:pPr>
              <w:spacing w:after="70"/>
            </w:pPr>
            <w:r>
              <w:rPr>
                <w:rFonts w:ascii="Arial" w:cs="Arial" w:eastAsia="Arial" w:hAnsi="Arial"/>
                <w:b/>
                <w:bCs/>
                <w:color w:val="2563A8"/>
                <w:sz w:val="20"/>
                <w:szCs w:val="20"/>
              </w:rPr>
              <w:t xml:space="preserve">Recommended timeframe: </w:t>
            </w:r>
            <w:r>
              <w:rPr>
                <w:rFonts w:ascii="Georgia" w:cs="Georgia" w:eastAsia="Georgia" w:hAnsi="Georgia"/>
                <w:color w:val="111827"/>
                <w:sz w:val="20"/>
                <w:szCs w:val="20"/>
              </w:rPr>
              <w:t xml:space="preserve">Immediate — organizations not yet certified face increasing supervisory scrutiny</w:t>
            </w:r>
          </w:p>
        </w:tc>
      </w:tr>
    </w:tbl>
    <w:p>
      <w:pPr>
        <w:spacing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E5E7EB" w:sz="1"/>
              <w:left w:val="single" w:color="E5E7EB" w:sz="1"/>
              <w:bottom w:val="none" w:color="FFFFFF" w:sz="0"/>
              <w:right w:val="single" w:color="E5E7EB" w:sz="1"/>
            </w:tcBorders>
            <w:shd w:fill="0F766E" w:val="clear"/>
            <w:tcMar>
              <w:top w:type="dxa" w:w="130"/>
              <w:left w:type="dxa" w:w="200"/>
              <w:bottom w:type="dxa" w:w="130"/>
              <w:right w:type="dxa" w:w="200"/>
            </w:tcMar>
          </w:tcPr>
          <w:p>
            <w:pPr>
              <w:spacing w:after="40"/>
            </w:pPr>
            <w:r>
              <w:rPr>
                <w:rFonts w:ascii="Arial" w:cs="Arial" w:eastAsia="Arial" w:hAnsi="Arial"/>
                <w:b/>
                <w:bCs/>
                <w:color w:val="FFFFFF"/>
                <w:sz w:val="26"/>
                <w:szCs w:val="26"/>
              </w:rPr>
              <w:t xml:space="preserve">FT  Fintech &amp; Payment System Operators</w:t>
            </w:r>
          </w:p>
          <w:p>
            <w:r>
              <w:rPr>
                <w:rFonts w:ascii="Arial" w:cs="Arial" w:eastAsia="Arial" w:hAnsi="Arial"/>
                <w:b/>
                <w:bCs/>
                <w:color w:val="D1FAE5"/>
                <w:sz w:val="19"/>
                <w:szCs w:val="19"/>
              </w:rPr>
              <w:t xml:space="preserve">Urgency: </w:t>
            </w:r>
            <w:r>
              <w:rPr>
                <w:rFonts w:ascii="Arial" w:cs="Arial" w:eastAsia="Arial" w:hAnsi="Arial"/>
                <w:b/>
                <w:bCs/>
                <w:color w:val="FCD34D"/>
                <w:sz w:val="19"/>
                <w:szCs w:val="19"/>
              </w:rPr>
              <w:t xml:space="preserve">CRITICAL</w:t>
            </w:r>
          </w:p>
        </w:tc>
      </w:tr>
      <w:tr>
        <w:tc>
          <w:tcPr>
            <w:tcW w:type="dxa" w:w="9360"/>
            <w:tcBorders>
              <w:top w:val="none" w:color="FFFFFF" w:sz="0"/>
              <w:left w:val="single" w:color="E5E7EB" w:sz="1"/>
              <w:bottom w:val="single" w:color="E5E7EB" w:sz="1"/>
              <w:right w:val="single" w:color="E5E7EB" w:sz="1"/>
            </w:tcBorders>
            <w:shd w:fill="F0FDFA" w:val="clear"/>
            <w:tcMar>
              <w:top w:type="dxa" w:w="130"/>
              <w:left w:type="dxa" w:w="200"/>
              <w:bottom w:type="dxa" w:w="130"/>
              <w:right w:type="dxa" w:w="200"/>
            </w:tcMar>
          </w:tcPr>
          <w:p>
            <w:pPr>
              <w:spacing w:after="70"/>
            </w:pPr>
            <w:r>
              <w:rPr>
                <w:rFonts w:ascii="Arial" w:cs="Arial" w:eastAsia="Arial" w:hAnsi="Arial"/>
                <w:b/>
                <w:bCs/>
                <w:color w:val="0F766E"/>
                <w:sz w:val="20"/>
                <w:szCs w:val="20"/>
              </w:rPr>
              <w:t xml:space="preserve">Regulatory driver: </w:t>
            </w:r>
            <w:r>
              <w:rPr>
                <w:rFonts w:ascii="Georgia" w:cs="Georgia" w:eastAsia="Georgia" w:hAnsi="Georgia"/>
                <w:color w:val="111827"/>
                <w:sz w:val="20"/>
                <w:szCs w:val="20"/>
              </w:rPr>
              <w:t xml:space="preserve">PBI No. 23/6/PBI/2021 requires documented security management for payment system operators; BI licensing process evaluates security posture</w:t>
            </w:r>
          </w:p>
          <w:p>
            <w:pPr>
              <w:spacing w:after="70"/>
            </w:pPr>
            <w:r>
              <w:rPr>
                <w:rFonts w:ascii="Arial" w:cs="Arial" w:eastAsia="Arial" w:hAnsi="Arial"/>
                <w:b/>
                <w:bCs/>
                <w:color w:val="0F766E"/>
                <w:sz w:val="20"/>
                <w:szCs w:val="20"/>
              </w:rPr>
              <w:t xml:space="preserve">Business driver: </w:t>
            </w:r>
            <w:r>
              <w:rPr>
                <w:rFonts w:ascii="Georgia" w:cs="Georgia" w:eastAsia="Georgia" w:hAnsi="Georgia"/>
                <w:color w:val="111827"/>
                <w:sz w:val="20"/>
                <w:szCs w:val="20"/>
              </w:rPr>
              <w:t xml:space="preserve">ISO 27001 certification accelerates licensing review and demonstrates operational readiness to Bank Indonesia</w:t>
            </w:r>
          </w:p>
          <w:p>
            <w:pPr>
              <w:spacing w:after="70"/>
            </w:pPr>
            <w:r>
              <w:rPr>
                <w:rFonts w:ascii="Arial" w:cs="Arial" w:eastAsia="Arial" w:hAnsi="Arial"/>
                <w:b/>
                <w:bCs/>
                <w:color w:val="0F766E"/>
                <w:sz w:val="20"/>
                <w:szCs w:val="20"/>
              </w:rPr>
              <w:t xml:space="preserve">Recommended timeframe: </w:t>
            </w:r>
            <w:r>
              <w:rPr>
                <w:rFonts w:ascii="Georgia" w:cs="Georgia" w:eastAsia="Georgia" w:hAnsi="Georgia"/>
                <w:color w:val="111827"/>
                <w:sz w:val="20"/>
                <w:szCs w:val="20"/>
              </w:rPr>
              <w:t xml:space="preserve">Immediate for license applicants; urgent for licensed operators</w:t>
            </w:r>
          </w:p>
        </w:tc>
      </w:tr>
    </w:tbl>
    <w:p>
      <w:pPr>
        <w:spacing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E5E7EB" w:sz="1"/>
              <w:left w:val="single" w:color="E5E7EB" w:sz="1"/>
              <w:bottom w:val="none" w:color="FFFFFF" w:sz="0"/>
              <w:right w:val="single" w:color="E5E7EB" w:sz="1"/>
            </w:tcBorders>
            <w:shd w:fill="991B1B" w:val="clear"/>
            <w:tcMar>
              <w:top w:type="dxa" w:w="130"/>
              <w:left w:type="dxa" w:w="200"/>
              <w:bottom w:type="dxa" w:w="130"/>
              <w:right w:type="dxa" w:w="200"/>
            </w:tcMar>
          </w:tcPr>
          <w:p>
            <w:pPr>
              <w:spacing w:after="40"/>
            </w:pPr>
            <w:r>
              <w:rPr>
                <w:rFonts w:ascii="Arial" w:cs="Arial" w:eastAsia="Arial" w:hAnsi="Arial"/>
                <w:b/>
                <w:bCs/>
                <w:color w:val="FFFFFF"/>
                <w:sz w:val="26"/>
                <w:szCs w:val="26"/>
              </w:rPr>
              <w:t xml:space="preserve">HC  Healthcare &amp; Health Technology</w:t>
            </w:r>
          </w:p>
          <w:p>
            <w:r>
              <w:rPr>
                <w:rFonts w:ascii="Arial" w:cs="Arial" w:eastAsia="Arial" w:hAnsi="Arial"/>
                <w:b/>
                <w:bCs/>
                <w:color w:val="D1FAE5"/>
                <w:sz w:val="19"/>
                <w:szCs w:val="19"/>
              </w:rPr>
              <w:t xml:space="preserve">Urgency: </w:t>
            </w:r>
            <w:r>
              <w:rPr>
                <w:rFonts w:ascii="Arial" w:cs="Arial" w:eastAsia="Arial" w:hAnsi="Arial"/>
                <w:b/>
                <w:bCs/>
                <w:color w:val="FCA5A5"/>
                <w:sz w:val="19"/>
                <w:szCs w:val="19"/>
              </w:rPr>
              <w:t xml:space="preserve">HIGH</w:t>
            </w:r>
          </w:p>
        </w:tc>
      </w:tr>
      <w:tr>
        <w:tc>
          <w:tcPr>
            <w:tcW w:type="dxa" w:w="9360"/>
            <w:tcBorders>
              <w:top w:val="none" w:color="FFFFFF" w:sz="0"/>
              <w:left w:val="single" w:color="E5E7EB" w:sz="1"/>
              <w:bottom w:val="single" w:color="E5E7EB" w:sz="1"/>
              <w:right w:val="single" w:color="E5E7EB" w:sz="1"/>
            </w:tcBorders>
            <w:shd w:fill="FEF2F2" w:val="clear"/>
            <w:tcMar>
              <w:top w:type="dxa" w:w="130"/>
              <w:left w:type="dxa" w:w="200"/>
              <w:bottom w:type="dxa" w:w="130"/>
              <w:right w:type="dxa" w:w="200"/>
            </w:tcMar>
          </w:tcPr>
          <w:p>
            <w:pPr>
              <w:spacing w:after="70"/>
            </w:pPr>
            <w:r>
              <w:rPr>
                <w:rFonts w:ascii="Arial" w:cs="Arial" w:eastAsia="Arial" w:hAnsi="Arial"/>
                <w:b/>
                <w:bCs/>
                <w:color w:val="991B1B"/>
                <w:sz w:val="20"/>
                <w:szCs w:val="20"/>
              </w:rPr>
              <w:t xml:space="preserve">Regulatory driver: </w:t>
            </w:r>
            <w:r>
              <w:rPr>
                <w:rFonts w:ascii="Georgia" w:cs="Georgia" w:eastAsia="Georgia" w:hAnsi="Georgia"/>
                <w:color w:val="111827"/>
                <w:sz w:val="20"/>
                <w:szCs w:val="20"/>
              </w:rPr>
              <w:t xml:space="preserve">UU PDP Article 35–37 requires appropriate technical and organizational measures for sensitive health data; KOMINFO enforcement now active</w:t>
            </w:r>
          </w:p>
          <w:p>
            <w:pPr>
              <w:spacing w:after="70"/>
            </w:pPr>
            <w:r>
              <w:rPr>
                <w:rFonts w:ascii="Arial" w:cs="Arial" w:eastAsia="Arial" w:hAnsi="Arial"/>
                <w:b/>
                <w:bCs/>
                <w:color w:val="991B1B"/>
                <w:sz w:val="20"/>
                <w:szCs w:val="20"/>
              </w:rPr>
              <w:t xml:space="preserve">Business driver: </w:t>
            </w:r>
            <w:r>
              <w:rPr>
                <w:rFonts w:ascii="Georgia" w:cs="Georgia" w:eastAsia="Georgia" w:hAnsi="Georgia"/>
                <w:color w:val="111827"/>
                <w:sz w:val="20"/>
                <w:szCs w:val="20"/>
              </w:rPr>
              <w:t xml:space="preserve">Hospital group procurement increasingly requires vendor security certification; international healthcare partnerships demand ISO 27001</w:t>
            </w:r>
          </w:p>
          <w:p>
            <w:pPr>
              <w:spacing w:after="70"/>
            </w:pPr>
            <w:r>
              <w:rPr>
                <w:rFonts w:ascii="Arial" w:cs="Arial" w:eastAsia="Arial" w:hAnsi="Arial"/>
                <w:b/>
                <w:bCs/>
                <w:color w:val="991B1B"/>
                <w:sz w:val="20"/>
                <w:szCs w:val="20"/>
              </w:rPr>
              <w:t xml:space="preserve">Recommended timeframe: </w:t>
            </w:r>
            <w:r>
              <w:rPr>
                <w:rFonts w:ascii="Georgia" w:cs="Georgia" w:eastAsia="Georgia" w:hAnsi="Georgia"/>
                <w:color w:val="111827"/>
                <w:sz w:val="20"/>
                <w:szCs w:val="20"/>
              </w:rPr>
              <w:t xml:space="preserve">Urgent — UU PDP enforcement is active; 12–18 month implementation timeline recommended</w:t>
            </w:r>
          </w:p>
        </w:tc>
      </w:tr>
    </w:tbl>
    <w:p>
      <w:pPr>
        <w:spacing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E5E7EB" w:sz="1"/>
              <w:left w:val="single" w:color="E5E7EB" w:sz="1"/>
              <w:bottom w:val="none" w:color="FFFFFF" w:sz="0"/>
              <w:right w:val="single" w:color="E5E7EB" w:sz="1"/>
            </w:tcBorders>
            <w:shd w:fill="3730A3" w:val="clear"/>
            <w:tcMar>
              <w:top w:type="dxa" w:w="130"/>
              <w:left w:type="dxa" w:w="200"/>
              <w:bottom w:type="dxa" w:w="130"/>
              <w:right w:type="dxa" w:w="200"/>
            </w:tcMar>
          </w:tcPr>
          <w:p>
            <w:pPr>
              <w:spacing w:after="40"/>
            </w:pPr>
            <w:r>
              <w:rPr>
                <w:rFonts w:ascii="Arial" w:cs="Arial" w:eastAsia="Arial" w:hAnsi="Arial"/>
                <w:b/>
                <w:bCs/>
                <w:color w:val="FFFFFF"/>
                <w:sz w:val="26"/>
                <w:szCs w:val="26"/>
              </w:rPr>
              <w:t xml:space="preserve">GT  Government Technology Vendors</w:t>
            </w:r>
          </w:p>
          <w:p>
            <w:r>
              <w:rPr>
                <w:rFonts w:ascii="Arial" w:cs="Arial" w:eastAsia="Arial" w:hAnsi="Arial"/>
                <w:b/>
                <w:bCs/>
                <w:color w:val="D1FAE5"/>
                <w:sz w:val="19"/>
                <w:szCs w:val="19"/>
              </w:rPr>
              <w:t xml:space="preserve">Urgency: </w:t>
            </w:r>
            <w:r>
              <w:rPr>
                <w:rFonts w:ascii="Arial" w:cs="Arial" w:eastAsia="Arial" w:hAnsi="Arial"/>
                <w:b/>
                <w:bCs/>
                <w:color w:val="FCA5A5"/>
                <w:sz w:val="19"/>
                <w:szCs w:val="19"/>
              </w:rPr>
              <w:t xml:space="preserve">HIGH</w:t>
            </w:r>
          </w:p>
        </w:tc>
      </w:tr>
      <w:tr>
        <w:tc>
          <w:tcPr>
            <w:tcW w:type="dxa" w:w="9360"/>
            <w:tcBorders>
              <w:top w:val="none" w:color="FFFFFF" w:sz="0"/>
              <w:left w:val="single" w:color="E5E7EB" w:sz="1"/>
              <w:bottom w:val="single" w:color="E5E7EB" w:sz="1"/>
              <w:right w:val="single" w:color="E5E7EB" w:sz="1"/>
            </w:tcBorders>
            <w:shd w:fill="EEF2FF" w:val="clear"/>
            <w:tcMar>
              <w:top w:type="dxa" w:w="130"/>
              <w:left w:type="dxa" w:w="200"/>
              <w:bottom w:type="dxa" w:w="130"/>
              <w:right w:type="dxa" w:w="200"/>
            </w:tcMar>
          </w:tcPr>
          <w:p>
            <w:pPr>
              <w:spacing w:after="70"/>
            </w:pPr>
            <w:r>
              <w:rPr>
                <w:rFonts w:ascii="Arial" w:cs="Arial" w:eastAsia="Arial" w:hAnsi="Arial"/>
                <w:b/>
                <w:bCs/>
                <w:color w:val="3730A3"/>
                <w:sz w:val="20"/>
                <w:szCs w:val="20"/>
              </w:rPr>
              <w:t xml:space="preserve">Regulatory driver: </w:t>
            </w:r>
            <w:r>
              <w:rPr>
                <w:rFonts w:ascii="Georgia" w:cs="Georgia" w:eastAsia="Georgia" w:hAnsi="Georgia"/>
                <w:color w:val="111827"/>
                <w:sz w:val="20"/>
                <w:szCs w:val="20"/>
              </w:rPr>
              <w:t xml:space="preserve">BSSN guidance on SMKI explicitly references ISO 27001; government RFPs increasingly require or favor certification</w:t>
            </w:r>
          </w:p>
          <w:p>
            <w:pPr>
              <w:spacing w:after="70"/>
            </w:pPr>
            <w:r>
              <w:rPr>
                <w:rFonts w:ascii="Arial" w:cs="Arial" w:eastAsia="Arial" w:hAnsi="Arial"/>
                <w:b/>
                <w:bCs/>
                <w:color w:val="3730A3"/>
                <w:sz w:val="20"/>
                <w:szCs w:val="20"/>
              </w:rPr>
              <w:t xml:space="preserve">Business driver: </w:t>
            </w:r>
            <w:r>
              <w:rPr>
                <w:rFonts w:ascii="Georgia" w:cs="Georgia" w:eastAsia="Georgia" w:hAnsi="Georgia"/>
                <w:color w:val="111827"/>
                <w:sz w:val="20"/>
                <w:szCs w:val="20"/>
              </w:rPr>
              <w:t xml:space="preserve">Certification provides qualification advantage in LKPP procurement system; reduces disqualification risk at RFP screening stage</w:t>
            </w:r>
          </w:p>
          <w:p>
            <w:pPr>
              <w:spacing w:after="70"/>
            </w:pPr>
            <w:r>
              <w:rPr>
                <w:rFonts w:ascii="Arial" w:cs="Arial" w:eastAsia="Arial" w:hAnsi="Arial"/>
                <w:b/>
                <w:bCs/>
                <w:color w:val="3730A3"/>
                <w:sz w:val="20"/>
                <w:szCs w:val="20"/>
              </w:rPr>
              <w:t xml:space="preserve">Recommended timeframe: </w:t>
            </w:r>
            <w:r>
              <w:rPr>
                <w:rFonts w:ascii="Georgia" w:cs="Georgia" w:eastAsia="Georgia" w:hAnsi="Georgia"/>
                <w:color w:val="111827"/>
                <w:sz w:val="20"/>
                <w:szCs w:val="20"/>
              </w:rPr>
              <w:t xml:space="preserve">High priority for vendors with current government pipeline or 12-month procurement targets</w:t>
            </w:r>
          </w:p>
        </w:tc>
      </w:tr>
    </w:tbl>
    <w:p>
      <w:pPr>
        <w:spacing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E5E7EB" w:sz="1"/>
              <w:left w:val="single" w:color="E5E7EB" w:sz="1"/>
              <w:bottom w:val="none" w:color="FFFFFF" w:sz="0"/>
              <w:right w:val="single" w:color="E5E7EB" w:sz="1"/>
            </w:tcBorders>
            <w:shd w:fill="6D28D9" w:val="clear"/>
            <w:tcMar>
              <w:top w:type="dxa" w:w="130"/>
              <w:left w:type="dxa" w:w="200"/>
              <w:bottom w:type="dxa" w:w="130"/>
              <w:right w:type="dxa" w:w="200"/>
            </w:tcMar>
          </w:tcPr>
          <w:p>
            <w:pPr>
              <w:spacing w:after="40"/>
            </w:pPr>
            <w:r>
              <w:rPr>
                <w:rFonts w:ascii="Arial" w:cs="Arial" w:eastAsia="Arial" w:hAnsi="Arial"/>
                <w:b/>
                <w:bCs/>
                <w:color w:val="FFFFFF"/>
                <w:sz w:val="26"/>
                <w:szCs w:val="26"/>
              </w:rPr>
              <w:t xml:space="preserve">TC  Technology &amp; SaaS Companies</w:t>
            </w:r>
          </w:p>
          <w:p>
            <w:r>
              <w:rPr>
                <w:rFonts w:ascii="Arial" w:cs="Arial" w:eastAsia="Arial" w:hAnsi="Arial"/>
                <w:b/>
                <w:bCs/>
                <w:color w:val="D1FAE5"/>
                <w:sz w:val="19"/>
                <w:szCs w:val="19"/>
              </w:rPr>
              <w:t xml:space="preserve">Urgency: </w:t>
            </w:r>
            <w:r>
              <w:rPr>
                <w:rFonts w:ascii="Arial" w:cs="Arial" w:eastAsia="Arial" w:hAnsi="Arial"/>
                <w:b/>
                <w:bCs/>
                <w:color w:val="FDE68A"/>
                <w:sz w:val="19"/>
                <w:szCs w:val="19"/>
              </w:rPr>
              <w:t xml:space="preserve">MEDIUM-HIGH</w:t>
            </w:r>
          </w:p>
        </w:tc>
      </w:tr>
      <w:tr>
        <w:tc>
          <w:tcPr>
            <w:tcW w:type="dxa" w:w="9360"/>
            <w:tcBorders>
              <w:top w:val="none" w:color="FFFFFF" w:sz="0"/>
              <w:left w:val="single" w:color="E5E7EB" w:sz="1"/>
              <w:bottom w:val="single" w:color="E5E7EB" w:sz="1"/>
              <w:right w:val="single" w:color="E5E7EB" w:sz="1"/>
            </w:tcBorders>
            <w:shd w:fill="F5F3FF" w:val="clear"/>
            <w:tcMar>
              <w:top w:type="dxa" w:w="130"/>
              <w:left w:type="dxa" w:w="200"/>
              <w:bottom w:type="dxa" w:w="130"/>
              <w:right w:type="dxa" w:w="200"/>
            </w:tcMar>
          </w:tcPr>
          <w:p>
            <w:pPr>
              <w:spacing w:after="70"/>
            </w:pPr>
            <w:r>
              <w:rPr>
                <w:rFonts w:ascii="Arial" w:cs="Arial" w:eastAsia="Arial" w:hAnsi="Arial"/>
                <w:b/>
                <w:bCs/>
                <w:color w:val="6D28D9"/>
                <w:sz w:val="20"/>
                <w:szCs w:val="20"/>
              </w:rPr>
              <w:t xml:space="preserve">Regulatory driver: </w:t>
            </w:r>
            <w:r>
              <w:rPr>
                <w:rFonts w:ascii="Georgia" w:cs="Georgia" w:eastAsia="Georgia" w:hAnsi="Georgia"/>
                <w:color w:val="111827"/>
                <w:sz w:val="20"/>
                <w:szCs w:val="20"/>
              </w:rPr>
              <w:t xml:space="preserve">UU PDP applies to all data controllers and processors — most SaaS companies qualify; regulatory risk is real even without sector-specific rules</w:t>
            </w:r>
          </w:p>
          <w:p>
            <w:pPr>
              <w:spacing w:after="70"/>
            </w:pPr>
            <w:r>
              <w:rPr>
                <w:rFonts w:ascii="Arial" w:cs="Arial" w:eastAsia="Arial" w:hAnsi="Arial"/>
                <w:b/>
                <w:bCs/>
                <w:color w:val="6D28D9"/>
                <w:sz w:val="20"/>
                <w:szCs w:val="20"/>
              </w:rPr>
              <w:t xml:space="preserve">Business driver: </w:t>
            </w:r>
            <w:r>
              <w:rPr>
                <w:rFonts w:ascii="Georgia" w:cs="Georgia" w:eastAsia="Georgia" w:hAnsi="Georgia"/>
                <w:color w:val="111827"/>
                <w:sz w:val="20"/>
                <w:szCs w:val="20"/>
              </w:rPr>
              <w:t xml:space="preserve">Enterprise sales cycles increasingly include security questionnaires; ISO 27001 certification compresses due diligence timelines significantly</w:t>
            </w:r>
          </w:p>
          <w:p>
            <w:pPr>
              <w:spacing w:after="70"/>
            </w:pPr>
            <w:r>
              <w:rPr>
                <w:rFonts w:ascii="Arial" w:cs="Arial" w:eastAsia="Arial" w:hAnsi="Arial"/>
                <w:b/>
                <w:bCs/>
                <w:color w:val="6D28D9"/>
                <w:sz w:val="20"/>
                <w:szCs w:val="20"/>
              </w:rPr>
              <w:t xml:space="preserve">Recommended timeframe: </w:t>
            </w:r>
            <w:r>
              <w:rPr>
                <w:rFonts w:ascii="Georgia" w:cs="Georgia" w:eastAsia="Georgia" w:hAnsi="Georgia"/>
                <w:color w:val="111827"/>
                <w:sz w:val="20"/>
                <w:szCs w:val="20"/>
              </w:rPr>
              <w:t xml:space="preserve">Strategic window — certify before it becomes table stakes; 9–12 months typical for focused scope</w:t>
            </w:r>
          </w:p>
        </w:tc>
      </w:tr>
    </w:tbl>
    <w:p>
      <w:pPr>
        <w:spacing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E5E7EB" w:sz="1"/>
              <w:left w:val="single" w:color="E5E7EB" w:sz="1"/>
              <w:bottom w:val="none" w:color="FFFFFF" w:sz="0"/>
              <w:right w:val="single" w:color="E5E7EB" w:sz="1"/>
            </w:tcBorders>
            <w:shd w:fill="B45309" w:val="clear"/>
            <w:tcMar>
              <w:top w:type="dxa" w:w="130"/>
              <w:left w:type="dxa" w:w="200"/>
              <w:bottom w:type="dxa" w:w="130"/>
              <w:right w:type="dxa" w:w="200"/>
            </w:tcMar>
          </w:tcPr>
          <w:p>
            <w:pPr>
              <w:spacing w:after="40"/>
            </w:pPr>
            <w:r>
              <w:rPr>
                <w:rFonts w:ascii="Arial" w:cs="Arial" w:eastAsia="Arial" w:hAnsi="Arial"/>
                <w:b/>
                <w:bCs/>
                <w:color w:val="FFFFFF"/>
                <w:sz w:val="26"/>
                <w:szCs w:val="26"/>
              </w:rPr>
              <w:t xml:space="preserve">LG  Logistics, Supply Chain &amp; E-Commerce</w:t>
            </w:r>
          </w:p>
          <w:p>
            <w:r>
              <w:rPr>
                <w:rFonts w:ascii="Arial" w:cs="Arial" w:eastAsia="Arial" w:hAnsi="Arial"/>
                <w:b/>
                <w:bCs/>
                <w:color w:val="D1FAE5"/>
                <w:sz w:val="19"/>
                <w:szCs w:val="19"/>
              </w:rPr>
              <w:t xml:space="preserve">Urgency: </w:t>
            </w:r>
            <w:r>
              <w:rPr>
                <w:rFonts w:ascii="Arial" w:cs="Arial" w:eastAsia="Arial" w:hAnsi="Arial"/>
                <w:b/>
                <w:bCs/>
                <w:color w:val="86EFAC"/>
                <w:sz w:val="19"/>
                <w:szCs w:val="19"/>
              </w:rPr>
              <w:t xml:space="preserve">MEDIUM</w:t>
            </w:r>
          </w:p>
        </w:tc>
      </w:tr>
      <w:tr>
        <w:tc>
          <w:tcPr>
            <w:tcW w:type="dxa" w:w="9360"/>
            <w:tcBorders>
              <w:top w:val="none" w:color="FFFFFF" w:sz="0"/>
              <w:left w:val="single" w:color="E5E7EB" w:sz="1"/>
              <w:bottom w:val="single" w:color="E5E7EB" w:sz="1"/>
              <w:right w:val="single" w:color="E5E7EB" w:sz="1"/>
            </w:tcBorders>
            <w:shd w:fill="FFFBEB" w:val="clear"/>
            <w:tcMar>
              <w:top w:type="dxa" w:w="130"/>
              <w:left w:type="dxa" w:w="200"/>
              <w:bottom w:type="dxa" w:w="130"/>
              <w:right w:type="dxa" w:w="200"/>
            </w:tcMar>
          </w:tcPr>
          <w:p>
            <w:pPr>
              <w:spacing w:after="70"/>
            </w:pPr>
            <w:r>
              <w:rPr>
                <w:rFonts w:ascii="Arial" w:cs="Arial" w:eastAsia="Arial" w:hAnsi="Arial"/>
                <w:b/>
                <w:bCs/>
                <w:color w:val="B45309"/>
                <w:sz w:val="20"/>
                <w:szCs w:val="20"/>
              </w:rPr>
              <w:t xml:space="preserve">Regulatory driver: </w:t>
            </w:r>
            <w:r>
              <w:rPr>
                <w:rFonts w:ascii="Georgia" w:cs="Georgia" w:eastAsia="Georgia" w:hAnsi="Georgia"/>
                <w:color w:val="111827"/>
                <w:sz w:val="20"/>
                <w:szCs w:val="20"/>
              </w:rPr>
              <w:t xml:space="preserve">UU PDP applies to customer data processing; large retail and FMCG clients are beginning to require vendor security certification</w:t>
            </w:r>
          </w:p>
          <w:p>
            <w:pPr>
              <w:spacing w:after="70"/>
            </w:pPr>
            <w:r>
              <w:rPr>
                <w:rFonts w:ascii="Arial" w:cs="Arial" w:eastAsia="Arial" w:hAnsi="Arial"/>
                <w:b/>
                <w:bCs/>
                <w:color w:val="B45309"/>
                <w:sz w:val="20"/>
                <w:szCs w:val="20"/>
              </w:rPr>
              <w:t xml:space="preserve">Business driver: </w:t>
            </w:r>
            <w:r>
              <w:rPr>
                <w:rFonts w:ascii="Georgia" w:cs="Georgia" w:eastAsia="Georgia" w:hAnsi="Georgia"/>
                <w:color w:val="111827"/>
                <w:sz w:val="20"/>
                <w:szCs w:val="20"/>
              </w:rPr>
              <w:t xml:space="preserve">ISO 27001 certification opens doors to corporate and government supply chain contracts where security is a qualification criterion</w:t>
            </w:r>
          </w:p>
          <w:p>
            <w:pPr>
              <w:spacing w:after="70"/>
            </w:pPr>
            <w:r>
              <w:rPr>
                <w:rFonts w:ascii="Arial" w:cs="Arial" w:eastAsia="Arial" w:hAnsi="Arial"/>
                <w:b/>
                <w:bCs/>
                <w:color w:val="B45309"/>
                <w:sz w:val="20"/>
                <w:szCs w:val="20"/>
              </w:rPr>
              <w:t xml:space="preserve">Recommended timeframe: </w:t>
            </w:r>
            <w:r>
              <w:rPr>
                <w:rFonts w:ascii="Georgia" w:cs="Georgia" w:eastAsia="Georgia" w:hAnsi="Georgia"/>
                <w:color w:val="111827"/>
                <w:sz w:val="20"/>
                <w:szCs w:val="20"/>
              </w:rPr>
              <w:t xml:space="preserve">Plan for 12–18 months; prioritize implementation before major client contract renewals</w:t>
            </w:r>
          </w:p>
        </w:tc>
      </w:tr>
    </w:tbl>
    <w:p>
      <w:pPr>
        <w:spacing w:after="200"/>
      </w:pPr>
      <w:r>
        <w:t xml:space="preserve"/>
      </w:r>
    </w:p>
    <w:p>
      <w:pPr>
        <w:pStyle w:val="Heading2"/>
        <w:pBdr>
          <w:bottom w:val="single" w:color="2563A8" w:sz="4" w:space="4"/>
        </w:pBdr>
        <w:spacing w:after="160" w:before="400"/>
      </w:pPr>
      <w:r>
        <w:rPr>
          <w:rFonts w:ascii="Arial" w:cs="Arial" w:eastAsia="Arial" w:hAnsi="Arial"/>
          <w:b/>
          <w:bCs/>
          <w:color w:val="1B3A5C"/>
          <w:sz w:val="28"/>
          <w:szCs w:val="28"/>
        </w:rPr>
        <w:t xml:space="preserve">By Organizational Size: Scaling the Approach</w:t>
      </w:r>
    </w:p>
    <w:p>
      <w:pPr>
        <w:spacing w:after="80"/>
      </w:pPr>
      <w:r>
        <w:t xml:space="preserve"/>
      </w:r>
    </w:p>
    <w:p>
      <w:pPr>
        <w:spacing w:after="160" w:line="320"/>
        <w:jc w:val="both"/>
      </w:pPr>
      <w:r>
        <w:rPr>
          <w:rFonts w:ascii="Georgia" w:cs="Georgia" w:eastAsia="Georgia" w:hAnsi="Georgia"/>
          <w:color w:val="111827"/>
          <w:sz w:val="22"/>
          <w:szCs w:val="22"/>
        </w:rPr>
        <w:t xml:space="preserve">One of ISO 27001's genuine strengths is its scalability. A 12-person fintech and a 3,000-person bank can both legitimately certify — but they implement very differently. Scope, team structure, tooling, and timeline all vary significantly by organizational size.</w:t>
      </w:r>
    </w:p>
    <w:p>
      <w:pPr>
        <w:spacing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800"/>
        <w:gridCol w:w="7560"/>
      </w:tblGrid>
      <w:tr>
        <w:tc>
          <w:tcPr>
            <w:tcW w:type="dxa" w:w="1800"/>
            <w:tcBorders>
              <w:top w:val="single" w:color="DBEAFE" w:sz="1"/>
              <w:left w:val="single" w:color="DBEAFE" w:sz="1"/>
              <w:bottom w:val="single" w:color="DBEAFE" w:sz="1"/>
              <w:right w:val="single" w:color="DBEAFE" w:sz="1"/>
            </w:tcBorders>
            <w:shd w:fill="0F766E" w:val="clear"/>
            <w:tcMar>
              <w:top w:type="dxa" w:w="100"/>
              <w:left w:type="dxa" w:w="130"/>
              <w:bottom w:type="dxa" w:w="100"/>
              <w:right w:type="dxa" w:w="130"/>
            </w:tcMar>
            <w:vAlign w:val="center"/>
          </w:tcPr>
          <w:p>
            <w:pPr>
              <w:jc w:val="center"/>
            </w:pPr>
            <w:r>
              <w:rPr>
                <w:rFonts w:ascii="Arial" w:cs="Arial" w:eastAsia="Arial" w:hAnsi="Arial"/>
                <w:b/>
                <w:bCs/>
                <w:color w:val="FFFFFF"/>
                <w:sz w:val="20"/>
                <w:szCs w:val="20"/>
              </w:rPr>
              <w:t xml:space="preserve">Startup
(&lt; 20 staff)</w:t>
            </w:r>
          </w:p>
        </w:tc>
        <w:tc>
          <w:tcPr>
            <w:tcW w:type="dxa" w:w="7560"/>
            <w:tcBorders>
              <w:top w:val="single" w:color="DBEAFE" w:sz="1"/>
              <w:left w:val="single" w:color="DBEAFE" w:sz="1"/>
              <w:bottom w:val="single" w:color="DBEAFE" w:sz="1"/>
              <w:right w:val="single" w:color="DBEAFE" w:sz="1"/>
            </w:tcBorders>
            <w:shd w:fill="F0FDFA" w:val="clear"/>
            <w:tcMar>
              <w:top w:type="dxa" w:w="100"/>
              <w:left w:type="dxa" w:w="160"/>
              <w:bottom w:type="dxa" w:w="100"/>
              <w:right w:type="dxa" w:w="140"/>
            </w:tcMar>
          </w:tcPr>
          <w:p>
            <w:pPr>
              <w:spacing w:after="60"/>
            </w:pPr>
            <w:r>
              <w:rPr>
                <w:rFonts w:ascii="Arial" w:cs="Arial" w:eastAsia="Arial" w:hAnsi="Arial"/>
                <w:b/>
                <w:bCs/>
                <w:color w:val="0F766E"/>
                <w:sz w:val="20"/>
                <w:szCs w:val="20"/>
              </w:rPr>
              <w:t xml:space="preserve">Recommended scope: </w:t>
            </w:r>
            <w:r>
              <w:rPr>
                <w:rFonts w:ascii="Georgia" w:cs="Georgia" w:eastAsia="Georgia" w:hAnsi="Georgia"/>
                <w:color w:val="111827"/>
                <w:sz w:val="20"/>
                <w:szCs w:val="20"/>
              </w:rPr>
              <w:t xml:space="preserve">Single product or service line — narrow scope is essential</w:t>
            </w:r>
          </w:p>
          <w:p>
            <w:pPr>
              <w:spacing w:after="60"/>
            </w:pPr>
            <w:r>
              <w:rPr>
                <w:rFonts w:ascii="Arial" w:cs="Arial" w:eastAsia="Arial" w:hAnsi="Arial"/>
                <w:b/>
                <w:bCs/>
                <w:color w:val="0F766E"/>
                <w:sz w:val="20"/>
                <w:szCs w:val="20"/>
              </w:rPr>
              <w:t xml:space="preserve">Approach: </w:t>
            </w:r>
            <w:r>
              <w:rPr>
                <w:rFonts w:ascii="Georgia" w:cs="Georgia" w:eastAsia="Georgia" w:hAnsi="Georgia"/>
                <w:color w:val="111827"/>
                <w:sz w:val="20"/>
                <w:szCs w:val="20"/>
              </w:rPr>
              <w:t xml:space="preserve">Founder-led implementation with external consultant support. Focus on top 5–8 risks only.</w:t>
            </w:r>
          </w:p>
          <w:p>
            <w:pPr>
              <w:spacing w:after="60"/>
            </w:pPr>
            <w:r>
              <w:rPr>
                <w:rFonts w:ascii="Arial" w:cs="Arial" w:eastAsia="Arial" w:hAnsi="Arial"/>
                <w:b/>
                <w:bCs/>
                <w:color w:val="0F766E"/>
                <w:sz w:val="20"/>
                <w:szCs w:val="20"/>
              </w:rPr>
              <w:t xml:space="preserve">Typical timeline: </w:t>
            </w:r>
            <w:r>
              <w:rPr>
                <w:rFonts w:ascii="Georgia" w:cs="Georgia" w:eastAsia="Georgia" w:hAnsi="Georgia"/>
                <w:color w:val="111827"/>
                <w:sz w:val="20"/>
                <w:szCs w:val="20"/>
              </w:rPr>
              <w:t xml:space="preserve">6–9 months to first certification</w:t>
            </w:r>
          </w:p>
          <w:p>
            <w:pPr>
              <w:spacing w:after="0"/>
            </w:pPr>
            <w:r>
              <w:rPr>
                <w:rFonts w:ascii="Arial" w:cs="Arial" w:eastAsia="Arial" w:hAnsi="Arial"/>
                <w:b/>
                <w:bCs/>
                <w:color w:val="991B1B"/>
                <w:sz w:val="20"/>
                <w:szCs w:val="20"/>
              </w:rPr>
              <w:t xml:space="preserve">Watch out for: </w:t>
            </w:r>
            <w:r>
              <w:rPr>
                <w:rFonts w:ascii="Georgia" w:cs="Georgia" w:eastAsia="Georgia" w:hAnsi="Georgia"/>
                <w:i/>
                <w:iCs/>
                <w:color w:val="4B5563"/>
                <w:sz w:val="20"/>
                <w:szCs w:val="20"/>
              </w:rPr>
              <w:t xml:space="preserve">Do not attempt full organizational scope. Keep it narrow and certifiable.</w:t>
            </w:r>
          </w:p>
        </w:tc>
      </w:tr>
      <w:tr>
        <w:tc>
          <w:tcPr>
            <w:tcW w:type="dxa" w:w="1800"/>
            <w:tcBorders>
              <w:top w:val="single" w:color="DBEAFE" w:sz="1"/>
              <w:left w:val="single" w:color="DBEAFE" w:sz="1"/>
              <w:bottom w:val="single" w:color="DBEAFE" w:sz="1"/>
              <w:right w:val="single" w:color="DBEAFE" w:sz="1"/>
            </w:tcBorders>
            <w:shd w:fill="2563A8" w:val="clear"/>
            <w:tcMar>
              <w:top w:type="dxa" w:w="100"/>
              <w:left w:type="dxa" w:w="130"/>
              <w:bottom w:type="dxa" w:w="100"/>
              <w:right w:type="dxa" w:w="130"/>
            </w:tcMar>
            <w:vAlign w:val="center"/>
          </w:tcPr>
          <w:p>
            <w:pPr>
              <w:jc w:val="center"/>
            </w:pPr>
            <w:r>
              <w:rPr>
                <w:rFonts w:ascii="Arial" w:cs="Arial" w:eastAsia="Arial" w:hAnsi="Arial"/>
                <w:b/>
                <w:bCs/>
                <w:color w:val="FFFFFF"/>
                <w:sz w:val="20"/>
                <w:szCs w:val="20"/>
              </w:rPr>
              <w:t xml:space="preserve">SME
(20–200 staff)</w:t>
            </w:r>
          </w:p>
        </w:tc>
        <w:tc>
          <w:tcPr>
            <w:tcW w:type="dxa" w:w="7560"/>
            <w:tcBorders>
              <w:top w:val="single" w:color="DBEAFE" w:sz="1"/>
              <w:left w:val="single" w:color="DBEAFE" w:sz="1"/>
              <w:bottom w:val="single" w:color="DBEAFE" w:sz="1"/>
              <w:right w:val="single" w:color="DBEAFE" w:sz="1"/>
            </w:tcBorders>
            <w:shd w:fill="EBF2FB" w:val="clear"/>
            <w:tcMar>
              <w:top w:type="dxa" w:w="100"/>
              <w:left w:type="dxa" w:w="160"/>
              <w:bottom w:type="dxa" w:w="100"/>
              <w:right w:type="dxa" w:w="140"/>
            </w:tcMar>
          </w:tcPr>
          <w:p>
            <w:pPr>
              <w:spacing w:after="60"/>
            </w:pPr>
            <w:r>
              <w:rPr>
                <w:rFonts w:ascii="Arial" w:cs="Arial" w:eastAsia="Arial" w:hAnsi="Arial"/>
                <w:b/>
                <w:bCs/>
                <w:color w:val="2563A8"/>
                <w:sz w:val="20"/>
                <w:szCs w:val="20"/>
              </w:rPr>
              <w:t xml:space="preserve">Recommended scope: </w:t>
            </w:r>
            <w:r>
              <w:rPr>
                <w:rFonts w:ascii="Georgia" w:cs="Georgia" w:eastAsia="Georgia" w:hAnsi="Georgia"/>
                <w:color w:val="111827"/>
                <w:sz w:val="20"/>
                <w:szCs w:val="20"/>
              </w:rPr>
              <w:t xml:space="preserve">Primary business service or product suite — expand scope in later cycles</w:t>
            </w:r>
          </w:p>
          <w:p>
            <w:pPr>
              <w:spacing w:after="60"/>
            </w:pPr>
            <w:r>
              <w:rPr>
                <w:rFonts w:ascii="Arial" w:cs="Arial" w:eastAsia="Arial" w:hAnsi="Arial"/>
                <w:b/>
                <w:bCs/>
                <w:color w:val="2563A8"/>
                <w:sz w:val="20"/>
                <w:szCs w:val="20"/>
              </w:rPr>
              <w:t xml:space="preserve">Approach: </w:t>
            </w:r>
            <w:r>
              <w:rPr>
                <w:rFonts w:ascii="Georgia" w:cs="Georgia" w:eastAsia="Georgia" w:hAnsi="Georgia"/>
                <w:color w:val="111827"/>
                <w:sz w:val="20"/>
                <w:szCs w:val="20"/>
              </w:rPr>
              <w:t xml:space="preserve">Dedicated part-time ISMS owner plus external consultant for risk assessment and audit prep.</w:t>
            </w:r>
          </w:p>
          <w:p>
            <w:pPr>
              <w:spacing w:after="60"/>
            </w:pPr>
            <w:r>
              <w:rPr>
                <w:rFonts w:ascii="Arial" w:cs="Arial" w:eastAsia="Arial" w:hAnsi="Arial"/>
                <w:b/>
                <w:bCs/>
                <w:color w:val="2563A8"/>
                <w:sz w:val="20"/>
                <w:szCs w:val="20"/>
              </w:rPr>
              <w:t xml:space="preserve">Typical timeline: </w:t>
            </w:r>
            <w:r>
              <w:rPr>
                <w:rFonts w:ascii="Georgia" w:cs="Georgia" w:eastAsia="Georgia" w:hAnsi="Georgia"/>
                <w:color w:val="111827"/>
                <w:sz w:val="20"/>
                <w:szCs w:val="20"/>
              </w:rPr>
              <w:t xml:space="preserve">9–12 months to first certification</w:t>
            </w:r>
          </w:p>
          <w:p>
            <w:pPr>
              <w:spacing w:after="0"/>
            </w:pPr>
            <w:r>
              <w:rPr>
                <w:rFonts w:ascii="Arial" w:cs="Arial" w:eastAsia="Arial" w:hAnsi="Arial"/>
                <w:b/>
                <w:bCs/>
                <w:color w:val="991B1B"/>
                <w:sz w:val="20"/>
                <w:szCs w:val="20"/>
              </w:rPr>
              <w:t xml:space="preserve">Watch out for: </w:t>
            </w:r>
            <w:r>
              <w:rPr>
                <w:rFonts w:ascii="Georgia" w:cs="Georgia" w:eastAsia="Georgia" w:hAnsi="Georgia"/>
                <w:i/>
                <w:iCs/>
                <w:color w:val="4B5563"/>
                <w:sz w:val="20"/>
                <w:szCs w:val="20"/>
              </w:rPr>
              <w:t xml:space="preserve">Resist scope creep. Certify a bounded scope first, then expand with confidence.</w:t>
            </w:r>
          </w:p>
        </w:tc>
      </w:tr>
      <w:tr>
        <w:tc>
          <w:tcPr>
            <w:tcW w:type="dxa" w:w="1800"/>
            <w:tcBorders>
              <w:top w:val="single" w:color="DBEAFE" w:sz="1"/>
              <w:left w:val="single" w:color="DBEAFE" w:sz="1"/>
              <w:bottom w:val="single" w:color="DBEAFE" w:sz="1"/>
              <w:right w:val="single" w:color="DBEAFE" w:sz="1"/>
            </w:tcBorders>
            <w:shd w:fill="6D28D9" w:val="clear"/>
            <w:tcMar>
              <w:top w:type="dxa" w:w="100"/>
              <w:left w:type="dxa" w:w="130"/>
              <w:bottom w:type="dxa" w:w="100"/>
              <w:right w:type="dxa" w:w="130"/>
            </w:tcMar>
            <w:vAlign w:val="center"/>
          </w:tcPr>
          <w:p>
            <w:pPr>
              <w:jc w:val="center"/>
            </w:pPr>
            <w:r>
              <w:rPr>
                <w:rFonts w:ascii="Arial" w:cs="Arial" w:eastAsia="Arial" w:hAnsi="Arial"/>
                <w:b/>
                <w:bCs/>
                <w:color w:val="FFFFFF"/>
                <w:sz w:val="20"/>
                <w:szCs w:val="20"/>
              </w:rPr>
              <w:t xml:space="preserve">Mid-Market
(200–1000 staff)</w:t>
            </w:r>
          </w:p>
        </w:tc>
        <w:tc>
          <w:tcPr>
            <w:tcW w:type="dxa" w:w="7560"/>
            <w:tcBorders>
              <w:top w:val="single" w:color="DBEAFE" w:sz="1"/>
              <w:left w:val="single" w:color="DBEAFE" w:sz="1"/>
              <w:bottom w:val="single" w:color="DBEAFE" w:sz="1"/>
              <w:right w:val="single" w:color="DBEAFE" w:sz="1"/>
            </w:tcBorders>
            <w:shd w:fill="F5F3FF" w:val="clear"/>
            <w:tcMar>
              <w:top w:type="dxa" w:w="100"/>
              <w:left w:type="dxa" w:w="160"/>
              <w:bottom w:type="dxa" w:w="100"/>
              <w:right w:type="dxa" w:w="140"/>
            </w:tcMar>
          </w:tcPr>
          <w:p>
            <w:pPr>
              <w:spacing w:after="60"/>
            </w:pPr>
            <w:r>
              <w:rPr>
                <w:rFonts w:ascii="Arial" w:cs="Arial" w:eastAsia="Arial" w:hAnsi="Arial"/>
                <w:b/>
                <w:bCs/>
                <w:color w:val="6D28D9"/>
                <w:sz w:val="20"/>
                <w:szCs w:val="20"/>
              </w:rPr>
              <w:t xml:space="preserve">Recommended scope: </w:t>
            </w:r>
            <w:r>
              <w:rPr>
                <w:rFonts w:ascii="Georgia" w:cs="Georgia" w:eastAsia="Georgia" w:hAnsi="Georgia"/>
                <w:color w:val="111827"/>
                <w:sz w:val="20"/>
                <w:szCs w:val="20"/>
              </w:rPr>
              <w:t xml:space="preserve">Multiple services or business units — phased scope expansion recommended</w:t>
            </w:r>
          </w:p>
          <w:p>
            <w:pPr>
              <w:spacing w:after="60"/>
            </w:pPr>
            <w:r>
              <w:rPr>
                <w:rFonts w:ascii="Arial" w:cs="Arial" w:eastAsia="Arial" w:hAnsi="Arial"/>
                <w:b/>
                <w:bCs/>
                <w:color w:val="6D28D9"/>
                <w:sz w:val="20"/>
                <w:szCs w:val="20"/>
              </w:rPr>
              <w:t xml:space="preserve">Approach: </w:t>
            </w:r>
            <w:r>
              <w:rPr>
                <w:rFonts w:ascii="Georgia" w:cs="Georgia" w:eastAsia="Georgia" w:hAnsi="Georgia"/>
                <w:color w:val="111827"/>
                <w:sz w:val="20"/>
                <w:szCs w:val="20"/>
              </w:rPr>
              <w:t xml:space="preserve">Dedicated ISMS Manager or small security team. Internal audit capability. GRC platform recommended.</w:t>
            </w:r>
          </w:p>
          <w:p>
            <w:pPr>
              <w:spacing w:after="60"/>
            </w:pPr>
            <w:r>
              <w:rPr>
                <w:rFonts w:ascii="Arial" w:cs="Arial" w:eastAsia="Arial" w:hAnsi="Arial"/>
                <w:b/>
                <w:bCs/>
                <w:color w:val="6D28D9"/>
                <w:sz w:val="20"/>
                <w:szCs w:val="20"/>
              </w:rPr>
              <w:t xml:space="preserve">Typical timeline: </w:t>
            </w:r>
            <w:r>
              <w:rPr>
                <w:rFonts w:ascii="Georgia" w:cs="Georgia" w:eastAsia="Georgia" w:hAnsi="Georgia"/>
                <w:color w:val="111827"/>
                <w:sz w:val="20"/>
                <w:szCs w:val="20"/>
              </w:rPr>
              <w:t xml:space="preserve">12–18 months to first certification</w:t>
            </w:r>
          </w:p>
          <w:p>
            <w:pPr>
              <w:spacing w:after="0"/>
            </w:pPr>
            <w:r>
              <w:rPr>
                <w:rFonts w:ascii="Arial" w:cs="Arial" w:eastAsia="Arial" w:hAnsi="Arial"/>
                <w:b/>
                <w:bCs/>
                <w:color w:val="991B1B"/>
                <w:sz w:val="20"/>
                <w:szCs w:val="20"/>
              </w:rPr>
              <w:t xml:space="preserve">Watch out for: </w:t>
            </w:r>
            <w:r>
              <w:rPr>
                <w:rFonts w:ascii="Georgia" w:cs="Georgia" w:eastAsia="Georgia" w:hAnsi="Georgia"/>
                <w:i/>
                <w:iCs/>
                <w:color w:val="4B5563"/>
                <w:sz w:val="20"/>
                <w:szCs w:val="20"/>
              </w:rPr>
              <w:t xml:space="preserve">Invest in tooling early. Spreadsheet-based ISMS management becomes unsustainable above this scale.</w:t>
            </w:r>
          </w:p>
        </w:tc>
      </w:tr>
      <w:tr>
        <w:tc>
          <w:tcPr>
            <w:tcW w:type="dxa" w:w="1800"/>
            <w:tcBorders>
              <w:top w:val="single" w:color="DBEAFE" w:sz="1"/>
              <w:left w:val="single" w:color="DBEAFE" w:sz="1"/>
              <w:bottom w:val="single" w:color="DBEAFE" w:sz="1"/>
              <w:right w:val="single" w:color="DBEAFE" w:sz="1"/>
            </w:tcBorders>
            <w:shd w:fill="3730A3" w:val="clear"/>
            <w:tcMar>
              <w:top w:type="dxa" w:w="100"/>
              <w:left w:type="dxa" w:w="130"/>
              <w:bottom w:type="dxa" w:w="100"/>
              <w:right w:type="dxa" w:w="130"/>
            </w:tcMar>
            <w:vAlign w:val="center"/>
          </w:tcPr>
          <w:p>
            <w:pPr>
              <w:jc w:val="center"/>
            </w:pPr>
            <w:r>
              <w:rPr>
                <w:rFonts w:ascii="Arial" w:cs="Arial" w:eastAsia="Arial" w:hAnsi="Arial"/>
                <w:b/>
                <w:bCs/>
                <w:color w:val="FFFFFF"/>
                <w:sz w:val="20"/>
                <w:szCs w:val="20"/>
              </w:rPr>
              <w:t xml:space="preserve">Enterprise
(1000+ staff)</w:t>
            </w:r>
          </w:p>
        </w:tc>
        <w:tc>
          <w:tcPr>
            <w:tcW w:type="dxa" w:w="7560"/>
            <w:tcBorders>
              <w:top w:val="single" w:color="DBEAFE" w:sz="1"/>
              <w:left w:val="single" w:color="DBEAFE" w:sz="1"/>
              <w:bottom w:val="single" w:color="DBEAFE" w:sz="1"/>
              <w:right w:val="single" w:color="DBEAFE" w:sz="1"/>
            </w:tcBorders>
            <w:shd w:fill="EEF2FF" w:val="clear"/>
            <w:tcMar>
              <w:top w:type="dxa" w:w="100"/>
              <w:left w:type="dxa" w:w="160"/>
              <w:bottom w:type="dxa" w:w="100"/>
              <w:right w:type="dxa" w:w="140"/>
            </w:tcMar>
          </w:tcPr>
          <w:p>
            <w:pPr>
              <w:spacing w:after="60"/>
            </w:pPr>
            <w:r>
              <w:rPr>
                <w:rFonts w:ascii="Arial" w:cs="Arial" w:eastAsia="Arial" w:hAnsi="Arial"/>
                <w:b/>
                <w:bCs/>
                <w:color w:val="3730A3"/>
                <w:sz w:val="20"/>
                <w:szCs w:val="20"/>
              </w:rPr>
              <w:t xml:space="preserve">Recommended scope: </w:t>
            </w:r>
            <w:r>
              <w:rPr>
                <w:rFonts w:ascii="Georgia" w:cs="Georgia" w:eastAsia="Georgia" w:hAnsi="Georgia"/>
                <w:color w:val="111827"/>
                <w:sz w:val="20"/>
                <w:szCs w:val="20"/>
              </w:rPr>
              <w:t xml:space="preserve">Enterprise-wide ISMS with subsidiary and international scope considerations</w:t>
            </w:r>
          </w:p>
          <w:p>
            <w:pPr>
              <w:spacing w:after="60"/>
            </w:pPr>
            <w:r>
              <w:rPr>
                <w:rFonts w:ascii="Arial" w:cs="Arial" w:eastAsia="Arial" w:hAnsi="Arial"/>
                <w:b/>
                <w:bCs/>
                <w:color w:val="3730A3"/>
                <w:sz w:val="20"/>
                <w:szCs w:val="20"/>
              </w:rPr>
              <w:t xml:space="preserve">Approach: </w:t>
            </w:r>
            <w:r>
              <w:rPr>
                <w:rFonts w:ascii="Georgia" w:cs="Georgia" w:eastAsia="Georgia" w:hAnsi="Georgia"/>
                <w:color w:val="111827"/>
                <w:sz w:val="20"/>
                <w:szCs w:val="20"/>
              </w:rPr>
              <w:t xml:space="preserve">Dedicated security team, GRC platform, integrated management system (ISO 27001 + ISO 22301 + COBIT).</w:t>
            </w:r>
          </w:p>
          <w:p>
            <w:pPr>
              <w:spacing w:after="60"/>
            </w:pPr>
            <w:r>
              <w:rPr>
                <w:rFonts w:ascii="Arial" w:cs="Arial" w:eastAsia="Arial" w:hAnsi="Arial"/>
                <w:b/>
                <w:bCs/>
                <w:color w:val="3730A3"/>
                <w:sz w:val="20"/>
                <w:szCs w:val="20"/>
              </w:rPr>
              <w:t xml:space="preserve">Typical timeline: </w:t>
            </w:r>
            <w:r>
              <w:rPr>
                <w:rFonts w:ascii="Georgia" w:cs="Georgia" w:eastAsia="Georgia" w:hAnsi="Georgia"/>
                <w:color w:val="111827"/>
                <w:sz w:val="20"/>
                <w:szCs w:val="20"/>
              </w:rPr>
              <w:t xml:space="preserve">18–24 months to first certification; ongoing expansion</w:t>
            </w:r>
          </w:p>
          <w:p>
            <w:pPr>
              <w:spacing w:after="0"/>
            </w:pPr>
            <w:r>
              <w:rPr>
                <w:rFonts w:ascii="Arial" w:cs="Arial" w:eastAsia="Arial" w:hAnsi="Arial"/>
                <w:b/>
                <w:bCs/>
                <w:color w:val="991B1B"/>
                <w:sz w:val="20"/>
                <w:szCs w:val="20"/>
              </w:rPr>
              <w:t xml:space="preserve">Watch out for: </w:t>
            </w:r>
            <w:r>
              <w:rPr>
                <w:rFonts w:ascii="Georgia" w:cs="Georgia" w:eastAsia="Georgia" w:hAnsi="Georgia"/>
                <w:i/>
                <w:iCs/>
                <w:color w:val="4B5563"/>
                <w:sz w:val="20"/>
                <w:szCs w:val="20"/>
              </w:rPr>
              <w:t xml:space="preserve">Governance and integration complexity — ensure executive sponsorship and cross-functional buy-in from day one.</w:t>
            </w:r>
          </w:p>
        </w:tc>
      </w:tr>
    </w:tbl>
    <w:p>
      <w:pPr>
        <w:spacing w:after="16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A7F3D0" w:sz="1"/>
              <w:left w:val="single" w:color="0E9F6E" w:sz="12"/>
              <w:bottom w:val="single" w:color="A7F3D0" w:sz="1"/>
              <w:right w:val="single" w:color="A7F3D0" w:sz="1"/>
            </w:tcBorders>
            <w:shd w:fill="ECFDF5" w:val="clear"/>
            <w:tcMar>
              <w:top w:type="dxa" w:w="140"/>
              <w:left w:type="dxa" w:w="200"/>
              <w:bottom w:type="dxa" w:w="140"/>
              <w:right w:type="dxa" w:w="160"/>
            </w:tcMar>
          </w:tcPr>
          <w:p>
            <w:r>
              <w:rPr>
                <w:rFonts w:ascii="Georgia" w:cs="Georgia" w:eastAsia="Georgia" w:hAnsi="Georgia"/>
                <w:i/>
                <w:iCs/>
                <w:color w:val="065F46"/>
                <w:sz w:val="21"/>
                <w:szCs w:val="21"/>
              </w:rPr>
              <w:t xml:space="preserve">Bitlion GRC for SMEs: The most common reason SMEs delay ISO 27001 implementation is the assumption that it requires a large internal security team. In practice, a well-scoped ISMS implemented with Bitlion's platform can be operated by a single part-time ISMS owner — with the platform handling risk register management, control evidence collection, audit scheduling, and regulatory mapping automatically.</w:t>
            </w:r>
          </w:p>
        </w:tc>
      </w:tr>
    </w:tbl>
    <w:p>
      <w:pPr>
        <w:spacing w:after="200"/>
      </w:pPr>
      <w:r>
        <w:t xml:space="preserve"/>
      </w:r>
    </w:p>
    <w:p>
      <w:pPr>
        <w:pStyle w:val="Heading2"/>
        <w:pBdr>
          <w:bottom w:val="single" w:color="2563A8" w:sz="4" w:space="4"/>
        </w:pBdr>
        <w:spacing w:after="160" w:before="400"/>
      </w:pPr>
      <w:r>
        <w:rPr>
          <w:rFonts w:ascii="Arial" w:cs="Arial" w:eastAsia="Arial" w:hAnsi="Arial"/>
          <w:b/>
          <w:bCs/>
          <w:color w:val="1B3A5C"/>
          <w:sz w:val="28"/>
          <w:szCs w:val="28"/>
        </w:rPr>
        <w:t xml:space="preserve">Readiness Self-Assessment</w:t>
      </w:r>
    </w:p>
    <w:p>
      <w:pPr>
        <w:spacing w:after="80"/>
      </w:pPr>
      <w:r>
        <w:t xml:space="preserve"/>
      </w:r>
    </w:p>
    <w:p>
      <w:pPr>
        <w:spacing w:after="160" w:line="320"/>
        <w:jc w:val="both"/>
      </w:pPr>
      <w:r>
        <w:rPr>
          <w:rFonts w:ascii="Georgia" w:cs="Georgia" w:eastAsia="Georgia" w:hAnsi="Georgia"/>
          <w:color w:val="111827"/>
          <w:sz w:val="22"/>
          <w:szCs w:val="22"/>
        </w:rPr>
        <w:t xml:space="preserve">Before committing to an ISO 27001 implementation program, every organization should work through a structured readiness assessment. The questions below are not exhaustive — a full gap assessment requires deeper analysis — but they surface the most critical preconditions for a successful implementation.</w:t>
      </w:r>
    </w:p>
    <w:p>
      <w:pPr>
        <w:spacing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160"/>
        <w:gridCol w:w="3100"/>
        <w:gridCol w:w="3100"/>
      </w:tblGrid>
      <w:tr>
        <w:tc>
          <w:tcPr>
            <w:tcW w:type="dxa" w:w="3160"/>
            <w:tcBorders>
              <w:top w:val="single" w:color="DBEAFE" w:sz="1"/>
              <w:left w:val="single" w:color="DBEAFE" w:sz="1"/>
              <w:bottom w:val="single" w:color="DBEAFE" w:sz="1"/>
              <w:right w:val="single" w:color="DBEAFE" w:sz="1"/>
            </w:tcBorders>
            <w:shd w:fill="1B3A5C" w:val="clear"/>
            <w:tcMar>
              <w:top w:type="dxa" w:w="90"/>
              <w:left w:type="dxa" w:w="130"/>
              <w:bottom w:type="dxa" w:w="90"/>
              <w:right w:type="dxa" w:w="130"/>
            </w:tcMar>
          </w:tcPr>
          <w:p>
            <w:r>
              <w:rPr>
                <w:rFonts w:ascii="Arial" w:cs="Arial" w:eastAsia="Arial" w:hAnsi="Arial"/>
                <w:b/>
                <w:bCs/>
                <w:color w:val="FFFFFF"/>
                <w:sz w:val="20"/>
                <w:szCs w:val="20"/>
              </w:rPr>
              <w:t xml:space="preserve">Question</w:t>
            </w:r>
          </w:p>
        </w:tc>
        <w:tc>
          <w:tcPr>
            <w:tcW w:type="dxa" w:w="3100"/>
            <w:tcBorders>
              <w:top w:val="single" w:color="DBEAFE" w:sz="1"/>
              <w:left w:val="single" w:color="DBEAFE" w:sz="1"/>
              <w:bottom w:val="single" w:color="DBEAFE" w:sz="1"/>
              <w:right w:val="single" w:color="DBEAFE" w:sz="1"/>
            </w:tcBorders>
            <w:shd w:fill="065F46" w:val="clear"/>
            <w:tcMar>
              <w:top w:type="dxa" w:w="90"/>
              <w:left w:type="dxa" w:w="130"/>
              <w:bottom w:type="dxa" w:w="90"/>
              <w:right w:type="dxa" w:w="130"/>
            </w:tcMar>
          </w:tcPr>
          <w:p>
            <w:r>
              <w:rPr>
                <w:rFonts w:ascii="Arial" w:cs="Arial" w:eastAsia="Arial" w:hAnsi="Arial"/>
                <w:b/>
                <w:bCs/>
                <w:color w:val="FFFFFF"/>
                <w:sz w:val="20"/>
                <w:szCs w:val="20"/>
              </w:rPr>
              <w:t xml:space="preserve">If YES — implication</w:t>
            </w:r>
          </w:p>
        </w:tc>
        <w:tc>
          <w:tcPr>
            <w:tcW w:type="dxa" w:w="3100"/>
            <w:tcBorders>
              <w:top w:val="single" w:color="DBEAFE" w:sz="1"/>
              <w:left w:val="single" w:color="DBEAFE" w:sz="1"/>
              <w:bottom w:val="single" w:color="DBEAFE" w:sz="1"/>
              <w:right w:val="single" w:color="DBEAFE" w:sz="1"/>
            </w:tcBorders>
            <w:shd w:fill="6B7280" w:val="clear"/>
            <w:tcMar>
              <w:top w:type="dxa" w:w="90"/>
              <w:left w:type="dxa" w:w="130"/>
              <w:bottom w:type="dxa" w:w="90"/>
              <w:right w:type="dxa" w:w="130"/>
            </w:tcMar>
          </w:tcPr>
          <w:p>
            <w:r>
              <w:rPr>
                <w:rFonts w:ascii="Arial" w:cs="Arial" w:eastAsia="Arial" w:hAnsi="Arial"/>
                <w:b/>
                <w:bCs/>
                <w:color w:val="FFFFFF"/>
                <w:sz w:val="20"/>
                <w:szCs w:val="20"/>
              </w:rPr>
              <w:t xml:space="preserve">If NO — implication</w:t>
            </w:r>
          </w:p>
        </w:tc>
      </w:tr>
      <w:tr>
        <w:tc>
          <w:tcPr>
            <w:tcW w:type="dxa" w:w="3160"/>
            <w:tcBorders>
              <w:top w:val="single" w:color="DBEAFE" w:sz="1"/>
              <w:left w:val="single" w:color="DBEAFE" w:sz="1"/>
              <w:bottom w:val="single" w:color="DBEAFE" w:sz="1"/>
              <w:right w:val="single" w:color="DBEAFE" w:sz="1"/>
            </w:tcBorders>
            <w:shd w:fill="F3F4F6" w:val="clear"/>
            <w:tcMar>
              <w:top w:type="dxa" w:w="90"/>
              <w:left w:type="dxa" w:w="130"/>
              <w:bottom w:type="dxa" w:w="90"/>
              <w:right w:type="dxa" w:w="130"/>
            </w:tcMar>
          </w:tcPr>
          <w:p>
            <w:r>
              <w:rPr>
                <w:rFonts w:ascii="Georgia" w:cs="Georgia" w:eastAsia="Georgia" w:hAnsi="Georgia"/>
                <w:color w:val="111827"/>
                <w:sz w:val="20"/>
                <w:szCs w:val="20"/>
              </w:rPr>
              <w:t xml:space="preserve">Do you handle personal data of Indonesian citizens?</w:t>
            </w:r>
          </w:p>
        </w:tc>
        <w:tc>
          <w:tcPr>
            <w:tcW w:type="dxa" w:w="3100"/>
            <w:tcBorders>
              <w:top w:val="single" w:color="DBEAFE" w:sz="1"/>
              <w:left w:val="single" w:color="DBEAFE" w:sz="1"/>
              <w:bottom w:val="single" w:color="DBEAFE" w:sz="1"/>
              <w:right w:val="single" w:color="DBEAFE" w:sz="1"/>
            </w:tcBorders>
            <w:shd w:fill="ECFDF5" w:val="clear"/>
            <w:tcMar>
              <w:top w:type="dxa" w:w="90"/>
              <w:left w:type="dxa" w:w="130"/>
              <w:bottom w:type="dxa" w:w="90"/>
              <w:right w:type="dxa" w:w="130"/>
            </w:tcMar>
          </w:tcPr>
          <w:p>
            <w:r>
              <w:rPr>
                <w:rFonts w:ascii="Georgia" w:cs="Georgia" w:eastAsia="Georgia" w:hAnsi="Georgia"/>
                <w:color w:val="065F46"/>
                <w:sz w:val="20"/>
                <w:szCs w:val="20"/>
              </w:rPr>
              <w:t xml:space="preserve">Yes — certification strongly recommended to demonstrate UU PDP compliance</w:t>
            </w:r>
          </w:p>
        </w:tc>
        <w:tc>
          <w:tcPr>
            <w:tcW w:type="dxa" w:w="3100"/>
            <w:tcBorders>
              <w:top w:val="single" w:color="DBEAFE" w:sz="1"/>
              <w:left w:val="single" w:color="DBEAFE" w:sz="1"/>
              <w:bottom w:val="single" w:color="DBEAFE" w:sz="1"/>
              <w:right w:val="single" w:color="DBEAFE" w:sz="1"/>
            </w:tcBorders>
            <w:shd w:fill="F3F4F6" w:val="clear"/>
            <w:tcMar>
              <w:top w:type="dxa" w:w="90"/>
              <w:left w:type="dxa" w:w="130"/>
              <w:bottom w:type="dxa" w:w="90"/>
              <w:right w:type="dxa" w:w="130"/>
            </w:tcMar>
          </w:tcPr>
          <w:p>
            <w:r>
              <w:rPr>
                <w:rFonts w:ascii="Georgia" w:cs="Georgia" w:eastAsia="Georgia" w:hAnsi="Georgia"/>
                <w:color w:val="4B5563"/>
                <w:sz w:val="20"/>
                <w:szCs w:val="20"/>
              </w:rPr>
              <w:t xml:space="preserve">No personal data in scope — evaluate based on other criteria</w:t>
            </w:r>
          </w:p>
        </w:tc>
      </w:tr>
      <w:tr>
        <w:tc>
          <w:tcPr>
            <w:tcW w:type="dxa" w:w="3160"/>
            <w:tcBorders>
              <w:top w:val="single" w:color="DBEAFE" w:sz="1"/>
              <w:left w:val="single" w:color="DBEAFE" w:sz="1"/>
              <w:bottom w:val="single" w:color="DBEAFE" w:sz="1"/>
              <w:right w:val="single" w:color="DBEAFE" w:sz="1"/>
            </w:tcBorders>
            <w:shd w:fill="F3F4F6" w:val="clear"/>
            <w:tcMar>
              <w:top w:type="dxa" w:w="90"/>
              <w:left w:type="dxa" w:w="130"/>
              <w:bottom w:type="dxa" w:w="90"/>
              <w:right w:type="dxa" w:w="130"/>
            </w:tcMar>
          </w:tcPr>
          <w:p>
            <w:r>
              <w:rPr>
                <w:rFonts w:ascii="Georgia" w:cs="Georgia" w:eastAsia="Georgia" w:hAnsi="Georgia"/>
                <w:color w:val="111827"/>
                <w:sz w:val="20"/>
                <w:szCs w:val="20"/>
              </w:rPr>
              <w:t xml:space="preserve">Do you sell to or operate within Indonesian regulated financial services?</w:t>
            </w:r>
          </w:p>
        </w:tc>
        <w:tc>
          <w:tcPr>
            <w:tcW w:type="dxa" w:w="3100"/>
            <w:tcBorders>
              <w:top w:val="single" w:color="DBEAFE" w:sz="1"/>
              <w:left w:val="single" w:color="DBEAFE" w:sz="1"/>
              <w:bottom w:val="single" w:color="DBEAFE" w:sz="1"/>
              <w:right w:val="single" w:color="DBEAFE" w:sz="1"/>
            </w:tcBorders>
            <w:shd w:fill="F0FDF4" w:val="clear"/>
            <w:tcMar>
              <w:top w:type="dxa" w:w="90"/>
              <w:left w:type="dxa" w:w="130"/>
              <w:bottom w:type="dxa" w:w="90"/>
              <w:right w:type="dxa" w:w="130"/>
            </w:tcMar>
          </w:tcPr>
          <w:p>
            <w:r>
              <w:rPr>
                <w:rFonts w:ascii="Georgia" w:cs="Georgia" w:eastAsia="Georgia" w:hAnsi="Georgia"/>
                <w:color w:val="065F46"/>
                <w:sz w:val="20"/>
                <w:szCs w:val="20"/>
              </w:rPr>
              <w:t xml:space="preserve">Yes — ISO 27001 is increasingly prerequisite for vendor onboarding</w:t>
            </w:r>
          </w:p>
        </w:tc>
        <w:tc>
          <w:tcPr>
            <w:tcW w:type="dxa" w:w="3100"/>
            <w:tcBorders>
              <w:top w:val="single" w:color="DBEAFE" w:sz="1"/>
              <w:left w:val="single" w:color="DBEAFE" w:sz="1"/>
              <w:bottom w:val="single" w:color="DBEAFE" w:sz="1"/>
              <w:right w:val="single" w:color="DBEAFE" w:sz="1"/>
            </w:tcBorders>
            <w:shd w:fill="FFFFFF" w:val="clear"/>
            <w:tcMar>
              <w:top w:type="dxa" w:w="90"/>
              <w:left w:type="dxa" w:w="130"/>
              <w:bottom w:type="dxa" w:w="90"/>
              <w:right w:type="dxa" w:w="130"/>
            </w:tcMar>
          </w:tcPr>
          <w:p>
            <w:r>
              <w:rPr>
                <w:rFonts w:ascii="Georgia" w:cs="Georgia" w:eastAsia="Georgia" w:hAnsi="Georgia"/>
                <w:color w:val="4B5563"/>
                <w:sz w:val="20"/>
                <w:szCs w:val="20"/>
              </w:rPr>
              <w:t xml:space="preserve">No — still evaluate for enterprise client and government market access</w:t>
            </w:r>
          </w:p>
        </w:tc>
      </w:tr>
      <w:tr>
        <w:tc>
          <w:tcPr>
            <w:tcW w:type="dxa" w:w="3160"/>
            <w:tcBorders>
              <w:top w:val="single" w:color="DBEAFE" w:sz="1"/>
              <w:left w:val="single" w:color="DBEAFE" w:sz="1"/>
              <w:bottom w:val="single" w:color="DBEAFE" w:sz="1"/>
              <w:right w:val="single" w:color="DBEAFE" w:sz="1"/>
            </w:tcBorders>
            <w:shd w:fill="F3F4F6" w:val="clear"/>
            <w:tcMar>
              <w:top w:type="dxa" w:w="90"/>
              <w:left w:type="dxa" w:w="130"/>
              <w:bottom w:type="dxa" w:w="90"/>
              <w:right w:type="dxa" w:w="130"/>
            </w:tcMar>
          </w:tcPr>
          <w:p>
            <w:r>
              <w:rPr>
                <w:rFonts w:ascii="Georgia" w:cs="Georgia" w:eastAsia="Georgia" w:hAnsi="Georgia"/>
                <w:color w:val="111827"/>
                <w:sz w:val="20"/>
                <w:szCs w:val="20"/>
              </w:rPr>
              <w:t xml:space="preserve">Do you plan to bid for Indonesian government IT contracts?</w:t>
            </w:r>
          </w:p>
        </w:tc>
        <w:tc>
          <w:tcPr>
            <w:tcW w:type="dxa" w:w="3100"/>
            <w:tcBorders>
              <w:top w:val="single" w:color="DBEAFE" w:sz="1"/>
              <w:left w:val="single" w:color="DBEAFE" w:sz="1"/>
              <w:bottom w:val="single" w:color="DBEAFE" w:sz="1"/>
              <w:right w:val="single" w:color="DBEAFE" w:sz="1"/>
            </w:tcBorders>
            <w:shd w:fill="ECFDF5" w:val="clear"/>
            <w:tcMar>
              <w:top w:type="dxa" w:w="90"/>
              <w:left w:type="dxa" w:w="130"/>
              <w:bottom w:type="dxa" w:w="90"/>
              <w:right w:type="dxa" w:w="130"/>
            </w:tcMar>
          </w:tcPr>
          <w:p>
            <w:r>
              <w:rPr>
                <w:rFonts w:ascii="Georgia" w:cs="Georgia" w:eastAsia="Georgia" w:hAnsi="Georgia"/>
                <w:color w:val="065F46"/>
                <w:sz w:val="20"/>
                <w:szCs w:val="20"/>
              </w:rPr>
              <w:t xml:space="preserve">Yes — certification frequently required or strongly preferred in RFPs</w:t>
            </w:r>
          </w:p>
        </w:tc>
        <w:tc>
          <w:tcPr>
            <w:tcW w:type="dxa" w:w="3100"/>
            <w:tcBorders>
              <w:top w:val="single" w:color="DBEAFE" w:sz="1"/>
              <w:left w:val="single" w:color="DBEAFE" w:sz="1"/>
              <w:bottom w:val="single" w:color="DBEAFE" w:sz="1"/>
              <w:right w:val="single" w:color="DBEAFE" w:sz="1"/>
            </w:tcBorders>
            <w:shd w:fill="F3F4F6" w:val="clear"/>
            <w:tcMar>
              <w:top w:type="dxa" w:w="90"/>
              <w:left w:type="dxa" w:w="130"/>
              <w:bottom w:type="dxa" w:w="90"/>
              <w:right w:type="dxa" w:w="130"/>
            </w:tcMar>
          </w:tcPr>
          <w:p>
            <w:r>
              <w:rPr>
                <w:rFonts w:ascii="Georgia" w:cs="Georgia" w:eastAsia="Georgia" w:hAnsi="Georgia"/>
                <w:color w:val="4B5563"/>
                <w:sz w:val="20"/>
                <w:szCs w:val="20"/>
              </w:rPr>
              <w:t xml:space="preserve">No current plans — monitor evolving procurement requirements</w:t>
            </w:r>
          </w:p>
        </w:tc>
      </w:tr>
      <w:tr>
        <w:tc>
          <w:tcPr>
            <w:tcW w:type="dxa" w:w="3160"/>
            <w:tcBorders>
              <w:top w:val="single" w:color="DBEAFE" w:sz="1"/>
              <w:left w:val="single" w:color="DBEAFE" w:sz="1"/>
              <w:bottom w:val="single" w:color="DBEAFE" w:sz="1"/>
              <w:right w:val="single" w:color="DBEAFE" w:sz="1"/>
            </w:tcBorders>
            <w:shd w:fill="F3F4F6" w:val="clear"/>
            <w:tcMar>
              <w:top w:type="dxa" w:w="90"/>
              <w:left w:type="dxa" w:w="130"/>
              <w:bottom w:type="dxa" w:w="90"/>
              <w:right w:type="dxa" w:w="130"/>
            </w:tcMar>
          </w:tcPr>
          <w:p>
            <w:r>
              <w:rPr>
                <w:rFonts w:ascii="Georgia" w:cs="Georgia" w:eastAsia="Georgia" w:hAnsi="Georgia"/>
                <w:color w:val="111827"/>
                <w:sz w:val="20"/>
                <w:szCs w:val="20"/>
              </w:rPr>
              <w:t xml:space="preserve">Do you have enterprise clients conducting vendor security assessments?</w:t>
            </w:r>
          </w:p>
        </w:tc>
        <w:tc>
          <w:tcPr>
            <w:tcW w:type="dxa" w:w="3100"/>
            <w:tcBorders>
              <w:top w:val="single" w:color="DBEAFE" w:sz="1"/>
              <w:left w:val="single" w:color="DBEAFE" w:sz="1"/>
              <w:bottom w:val="single" w:color="DBEAFE" w:sz="1"/>
              <w:right w:val="single" w:color="DBEAFE" w:sz="1"/>
            </w:tcBorders>
            <w:shd w:fill="F0FDF4" w:val="clear"/>
            <w:tcMar>
              <w:top w:type="dxa" w:w="90"/>
              <w:left w:type="dxa" w:w="130"/>
              <w:bottom w:type="dxa" w:w="90"/>
              <w:right w:type="dxa" w:w="130"/>
            </w:tcMar>
          </w:tcPr>
          <w:p>
            <w:r>
              <w:rPr>
                <w:rFonts w:ascii="Georgia" w:cs="Georgia" w:eastAsia="Georgia" w:hAnsi="Georgia"/>
                <w:color w:val="065F46"/>
                <w:sz w:val="20"/>
                <w:szCs w:val="20"/>
              </w:rPr>
              <w:t xml:space="preserve">Yes — certification replaces or accelerates most due diligence processes</w:t>
            </w:r>
          </w:p>
        </w:tc>
        <w:tc>
          <w:tcPr>
            <w:tcW w:type="dxa" w:w="3100"/>
            <w:tcBorders>
              <w:top w:val="single" w:color="DBEAFE" w:sz="1"/>
              <w:left w:val="single" w:color="DBEAFE" w:sz="1"/>
              <w:bottom w:val="single" w:color="DBEAFE" w:sz="1"/>
              <w:right w:val="single" w:color="DBEAFE" w:sz="1"/>
            </w:tcBorders>
            <w:shd w:fill="FFFFFF" w:val="clear"/>
            <w:tcMar>
              <w:top w:type="dxa" w:w="90"/>
              <w:left w:type="dxa" w:w="130"/>
              <w:bottom w:type="dxa" w:w="90"/>
              <w:right w:type="dxa" w:w="130"/>
            </w:tcMar>
          </w:tcPr>
          <w:p>
            <w:r>
              <w:rPr>
                <w:rFonts w:ascii="Georgia" w:cs="Georgia" w:eastAsia="Georgia" w:hAnsi="Georgia"/>
                <w:color w:val="4B5563"/>
                <w:sz w:val="20"/>
                <w:szCs w:val="20"/>
              </w:rPr>
              <w:t xml:space="preserve">No enterprise clients yet — begin implementation ahead of growth</w:t>
            </w:r>
          </w:p>
        </w:tc>
      </w:tr>
      <w:tr>
        <w:tc>
          <w:tcPr>
            <w:tcW w:type="dxa" w:w="3160"/>
            <w:tcBorders>
              <w:top w:val="single" w:color="DBEAFE" w:sz="1"/>
              <w:left w:val="single" w:color="DBEAFE" w:sz="1"/>
              <w:bottom w:val="single" w:color="DBEAFE" w:sz="1"/>
              <w:right w:val="single" w:color="DBEAFE" w:sz="1"/>
            </w:tcBorders>
            <w:shd w:fill="F3F4F6" w:val="clear"/>
            <w:tcMar>
              <w:top w:type="dxa" w:w="90"/>
              <w:left w:type="dxa" w:w="130"/>
              <w:bottom w:type="dxa" w:w="90"/>
              <w:right w:type="dxa" w:w="130"/>
            </w:tcMar>
          </w:tcPr>
          <w:p>
            <w:r>
              <w:rPr>
                <w:rFonts w:ascii="Georgia" w:cs="Georgia" w:eastAsia="Georgia" w:hAnsi="Georgia"/>
                <w:color w:val="111827"/>
                <w:sz w:val="20"/>
                <w:szCs w:val="20"/>
              </w:rPr>
              <w:t xml:space="preserve">Have you suffered a security incident in the past 24 months?</w:t>
            </w:r>
          </w:p>
        </w:tc>
        <w:tc>
          <w:tcPr>
            <w:tcW w:type="dxa" w:w="3100"/>
            <w:tcBorders>
              <w:top w:val="single" w:color="DBEAFE" w:sz="1"/>
              <w:left w:val="single" w:color="DBEAFE" w:sz="1"/>
              <w:bottom w:val="single" w:color="DBEAFE" w:sz="1"/>
              <w:right w:val="single" w:color="DBEAFE" w:sz="1"/>
            </w:tcBorders>
            <w:shd w:fill="ECFDF5" w:val="clear"/>
            <w:tcMar>
              <w:top w:type="dxa" w:w="90"/>
              <w:left w:type="dxa" w:w="130"/>
              <w:bottom w:type="dxa" w:w="90"/>
              <w:right w:type="dxa" w:w="130"/>
            </w:tcMar>
          </w:tcPr>
          <w:p>
            <w:r>
              <w:rPr>
                <w:rFonts w:ascii="Georgia" w:cs="Georgia" w:eastAsia="Georgia" w:hAnsi="Georgia"/>
                <w:color w:val="065F46"/>
                <w:sz w:val="20"/>
                <w:szCs w:val="20"/>
              </w:rPr>
              <w:t xml:space="preserve">Yes — ISMS implementation is urgent; demonstrates corrective action to regulators</w:t>
            </w:r>
          </w:p>
        </w:tc>
        <w:tc>
          <w:tcPr>
            <w:tcW w:type="dxa" w:w="3100"/>
            <w:tcBorders>
              <w:top w:val="single" w:color="DBEAFE" w:sz="1"/>
              <w:left w:val="single" w:color="DBEAFE" w:sz="1"/>
              <w:bottom w:val="single" w:color="DBEAFE" w:sz="1"/>
              <w:right w:val="single" w:color="DBEAFE" w:sz="1"/>
            </w:tcBorders>
            <w:shd w:fill="F3F4F6" w:val="clear"/>
            <w:tcMar>
              <w:top w:type="dxa" w:w="90"/>
              <w:left w:type="dxa" w:w="130"/>
              <w:bottom w:type="dxa" w:w="90"/>
              <w:right w:type="dxa" w:w="130"/>
            </w:tcMar>
          </w:tcPr>
          <w:p>
            <w:r>
              <w:rPr>
                <w:rFonts w:ascii="Georgia" w:cs="Georgia" w:eastAsia="Georgia" w:hAnsi="Georgia"/>
                <w:color w:val="4B5563"/>
                <w:sz w:val="20"/>
                <w:szCs w:val="20"/>
              </w:rPr>
              <w:t xml:space="preserve">No — implement proactively rather than reactively</w:t>
            </w:r>
          </w:p>
        </w:tc>
      </w:tr>
      <w:tr>
        <w:tc>
          <w:tcPr>
            <w:tcW w:type="dxa" w:w="3160"/>
            <w:tcBorders>
              <w:top w:val="single" w:color="DBEAFE" w:sz="1"/>
              <w:left w:val="single" w:color="DBEAFE" w:sz="1"/>
              <w:bottom w:val="single" w:color="DBEAFE" w:sz="1"/>
              <w:right w:val="single" w:color="DBEAFE" w:sz="1"/>
            </w:tcBorders>
            <w:shd w:fill="F3F4F6" w:val="clear"/>
            <w:tcMar>
              <w:top w:type="dxa" w:w="90"/>
              <w:left w:type="dxa" w:w="130"/>
              <w:bottom w:type="dxa" w:w="90"/>
              <w:right w:type="dxa" w:w="130"/>
            </w:tcMar>
          </w:tcPr>
          <w:p>
            <w:r>
              <w:rPr>
                <w:rFonts w:ascii="Georgia" w:cs="Georgia" w:eastAsia="Georgia" w:hAnsi="Georgia"/>
                <w:color w:val="111827"/>
                <w:sz w:val="20"/>
                <w:szCs w:val="20"/>
              </w:rPr>
              <w:t xml:space="preserve">Do you have staff whose role includes information security responsibilities?</w:t>
            </w:r>
          </w:p>
        </w:tc>
        <w:tc>
          <w:tcPr>
            <w:tcW w:type="dxa" w:w="3100"/>
            <w:tcBorders>
              <w:top w:val="single" w:color="DBEAFE" w:sz="1"/>
              <w:left w:val="single" w:color="DBEAFE" w:sz="1"/>
              <w:bottom w:val="single" w:color="DBEAFE" w:sz="1"/>
              <w:right w:val="single" w:color="DBEAFE" w:sz="1"/>
            </w:tcBorders>
            <w:shd w:fill="F0FDF4" w:val="clear"/>
            <w:tcMar>
              <w:top w:type="dxa" w:w="90"/>
              <w:left w:type="dxa" w:w="130"/>
              <w:bottom w:type="dxa" w:w="90"/>
              <w:right w:type="dxa" w:w="130"/>
            </w:tcMar>
          </w:tcPr>
          <w:p>
            <w:r>
              <w:rPr>
                <w:rFonts w:ascii="Georgia" w:cs="Georgia" w:eastAsia="Georgia" w:hAnsi="Georgia"/>
                <w:color w:val="065F46"/>
                <w:sz w:val="20"/>
                <w:szCs w:val="20"/>
              </w:rPr>
              <w:t xml:space="preserve">Yes — you have the foundation to build an ISMS; begin scope and gap assessment</w:t>
            </w:r>
          </w:p>
        </w:tc>
        <w:tc>
          <w:tcPr>
            <w:tcW w:type="dxa" w:w="3100"/>
            <w:tcBorders>
              <w:top w:val="single" w:color="DBEAFE" w:sz="1"/>
              <w:left w:val="single" w:color="DBEAFE" w:sz="1"/>
              <w:bottom w:val="single" w:color="DBEAFE" w:sz="1"/>
              <w:right w:val="single" w:color="DBEAFE" w:sz="1"/>
            </w:tcBorders>
            <w:shd w:fill="FFFFFF" w:val="clear"/>
            <w:tcMar>
              <w:top w:type="dxa" w:w="90"/>
              <w:left w:type="dxa" w:w="130"/>
              <w:bottom w:type="dxa" w:w="90"/>
              <w:right w:type="dxa" w:w="130"/>
            </w:tcMar>
          </w:tcPr>
          <w:p>
            <w:r>
              <w:rPr>
                <w:rFonts w:ascii="Georgia" w:cs="Georgia" w:eastAsia="Georgia" w:hAnsi="Georgia"/>
                <w:color w:val="4B5563"/>
                <w:sz w:val="20"/>
                <w:szCs w:val="20"/>
              </w:rPr>
              <w:t xml:space="preserve">No dedicated staff — plan resource allocation before starting implementation</w:t>
            </w:r>
          </w:p>
        </w:tc>
      </w:tr>
      <w:tr>
        <w:tc>
          <w:tcPr>
            <w:tcW w:type="dxa" w:w="3160"/>
            <w:tcBorders>
              <w:top w:val="single" w:color="DBEAFE" w:sz="1"/>
              <w:left w:val="single" w:color="DBEAFE" w:sz="1"/>
              <w:bottom w:val="single" w:color="DBEAFE" w:sz="1"/>
              <w:right w:val="single" w:color="DBEAFE" w:sz="1"/>
            </w:tcBorders>
            <w:shd w:fill="F3F4F6" w:val="clear"/>
            <w:tcMar>
              <w:top w:type="dxa" w:w="90"/>
              <w:left w:type="dxa" w:w="130"/>
              <w:bottom w:type="dxa" w:w="90"/>
              <w:right w:type="dxa" w:w="130"/>
            </w:tcMar>
          </w:tcPr>
          <w:p>
            <w:r>
              <w:rPr>
                <w:rFonts w:ascii="Georgia" w:cs="Georgia" w:eastAsia="Georgia" w:hAnsi="Georgia"/>
                <w:color w:val="111827"/>
                <w:sz w:val="20"/>
                <w:szCs w:val="20"/>
              </w:rPr>
              <w:t xml:space="preserve">Are you currently subject to annual IT audits by OJK, BI, or BSSN?</w:t>
            </w:r>
          </w:p>
        </w:tc>
        <w:tc>
          <w:tcPr>
            <w:tcW w:type="dxa" w:w="3100"/>
            <w:tcBorders>
              <w:top w:val="single" w:color="DBEAFE" w:sz="1"/>
              <w:left w:val="single" w:color="DBEAFE" w:sz="1"/>
              <w:bottom w:val="single" w:color="DBEAFE" w:sz="1"/>
              <w:right w:val="single" w:color="DBEAFE" w:sz="1"/>
            </w:tcBorders>
            <w:shd w:fill="ECFDF5" w:val="clear"/>
            <w:tcMar>
              <w:top w:type="dxa" w:w="90"/>
              <w:left w:type="dxa" w:w="130"/>
              <w:bottom w:type="dxa" w:w="90"/>
              <w:right w:type="dxa" w:w="130"/>
            </w:tcMar>
          </w:tcPr>
          <w:p>
            <w:r>
              <w:rPr>
                <w:rFonts w:ascii="Georgia" w:cs="Georgia" w:eastAsia="Georgia" w:hAnsi="Georgia"/>
                <w:color w:val="065F46"/>
                <w:sz w:val="20"/>
                <w:szCs w:val="20"/>
              </w:rPr>
              <w:t xml:space="preserve">Yes — ISMS documentation substantially simplifies audit evidence preparation</w:t>
            </w:r>
          </w:p>
        </w:tc>
        <w:tc>
          <w:tcPr>
            <w:tcW w:type="dxa" w:w="3100"/>
            <w:tcBorders>
              <w:top w:val="single" w:color="DBEAFE" w:sz="1"/>
              <w:left w:val="single" w:color="DBEAFE" w:sz="1"/>
              <w:bottom w:val="single" w:color="DBEAFE" w:sz="1"/>
              <w:right w:val="single" w:color="DBEAFE" w:sz="1"/>
            </w:tcBorders>
            <w:shd w:fill="F3F4F6" w:val="clear"/>
            <w:tcMar>
              <w:top w:type="dxa" w:w="90"/>
              <w:left w:type="dxa" w:w="130"/>
              <w:bottom w:type="dxa" w:w="90"/>
              <w:right w:type="dxa" w:w="130"/>
            </w:tcMar>
          </w:tcPr>
          <w:p>
            <w:r>
              <w:rPr>
                <w:rFonts w:ascii="Georgia" w:cs="Georgia" w:eastAsia="Georgia" w:hAnsi="Georgia"/>
                <w:color w:val="4B5563"/>
                <w:sz w:val="20"/>
                <w:szCs w:val="20"/>
              </w:rPr>
              <w:t xml:space="preserve">No current audits — regulatory scrutiny is increasing; proactive certification is advisable</w:t>
            </w:r>
          </w:p>
        </w:tc>
      </w:tr>
    </w:tbl>
    <w:p>
      <w:pPr>
        <w:spacing w:after="16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80"/>
        <w:gridCol w:w="8880"/>
      </w:tblGrid>
      <w:tr>
        <w:tc>
          <w:tcPr>
            <w:tcW w:type="dxa" w:w="480"/>
            <w:tcBorders>
              <w:top w:val="single" w:color="C7D9F0" w:sz="1"/>
              <w:left w:val="single" w:color="C7D9F0" w:sz="1"/>
              <w:bottom w:val="single" w:color="C7D9F0" w:sz="1"/>
              <w:right w:val="none" w:color="FFFFFF" w:sz="0"/>
            </w:tcBorders>
            <w:shd w:fill="2563A8" w:val="clear"/>
            <w:tcMar>
              <w:top w:type="dxa" w:w="120"/>
              <w:left w:type="dxa" w:w="160"/>
              <w:bottom w:type="dxa" w:w="120"/>
              <w:right w:type="dxa" w:w="80"/>
            </w:tcMar>
            <w:vAlign w:val="center"/>
          </w:tcPr>
          <w:p>
            <w:pPr>
              <w:jc w:val="center"/>
            </w:pPr>
            <w:r>
              <w:rPr>
                <w:rFonts w:ascii="Arial" w:cs="Arial" w:eastAsia="Arial" w:hAnsi="Arial"/>
                <w:b/>
                <w:bCs/>
                <w:color w:val="FFFFFF"/>
                <w:sz w:val="17"/>
                <w:szCs w:val="17"/>
              </w:rPr>
              <w:t xml:space="preserve">INTERPRETING RESULTS</w:t>
            </w:r>
          </w:p>
        </w:tc>
        <w:tc>
          <w:tcPr>
            <w:tcW w:type="dxa" w:w="8880"/>
            <w:tcBorders>
              <w:top w:val="single" w:color="C7D9F0" w:sz="1"/>
              <w:left w:val="none" w:color="FFFFFF" w:sz="0"/>
              <w:bottom w:val="single" w:color="C7D9F0" w:sz="1"/>
              <w:right w:val="single" w:color="C7D9F0" w:sz="1"/>
            </w:tcBorders>
            <w:shd w:fill="EBF2FB" w:val="clear"/>
            <w:tcMar>
              <w:top w:type="dxa" w:w="120"/>
              <w:left w:type="dxa" w:w="160"/>
              <w:bottom w:type="dxa" w:w="120"/>
              <w:right w:type="dxa" w:w="160"/>
            </w:tcMar>
          </w:tcPr>
          <w:p>
            <w:r>
              <w:rPr>
                <w:rFonts w:ascii="Georgia" w:cs="Georgia" w:eastAsia="Georgia" w:hAnsi="Georgia"/>
                <w:i/>
                <w:iCs/>
                <w:color w:val="1B3A5C"/>
                <w:sz w:val="21"/>
                <w:szCs w:val="21"/>
              </w:rPr>
              <w:t xml:space="preserve">If you answered YES to the first four questions, ISO 27001 implementation should be an active priority. If you answered YES to any of questions 5–7, urgency is increased. If you answered NO to the last two questions (no dedicated staff, no current audits), focus first on ensuring management commitment and basic resource allocation before beginning the implementation program.</w:t>
            </w:r>
          </w:p>
        </w:tc>
      </w:tr>
    </w:tbl>
    <w:p>
      <w:pPr>
        <w:spacing w:after="200"/>
      </w:pPr>
      <w:r>
        <w:t xml:space="preserve"/>
      </w:r>
    </w:p>
    <w:p>
      <w:pPr>
        <w:pStyle w:val="Heading2"/>
        <w:pBdr>
          <w:bottom w:val="single" w:color="2563A8" w:sz="4" w:space="4"/>
        </w:pBdr>
        <w:spacing w:after="160" w:before="400"/>
      </w:pPr>
      <w:r>
        <w:rPr>
          <w:rFonts w:ascii="Arial" w:cs="Arial" w:eastAsia="Arial" w:hAnsi="Arial"/>
          <w:b/>
          <w:bCs/>
          <w:color w:val="1B3A5C"/>
          <w:sz w:val="28"/>
          <w:szCs w:val="28"/>
        </w:rPr>
        <w:t xml:space="preserve">The Honest Cases: When Not to Start Yet</w:t>
      </w:r>
    </w:p>
    <w:p>
      <w:pPr>
        <w:spacing w:after="80"/>
      </w:pPr>
      <w:r>
        <w:t xml:space="preserve"/>
      </w:r>
    </w:p>
    <w:p>
      <w:pPr>
        <w:spacing w:after="160" w:line="320"/>
        <w:jc w:val="both"/>
      </w:pPr>
      <w:r>
        <w:rPr>
          <w:rFonts w:ascii="Georgia" w:cs="Georgia" w:eastAsia="Georgia" w:hAnsi="Georgia"/>
          <w:color w:val="111827"/>
          <w:sz w:val="22"/>
          <w:szCs w:val="22"/>
        </w:rPr>
        <w:t xml:space="preserve">This section deserves its own space because the pressure to certify — from clients, regulators, and competitive dynamics — can push organizations to start before they are genuinely ready. A premature implementation that produces a hollow ISMS is worse than waiting: it consumes resources, creates false confidence, and fails audits in ways that damage the organization's credibility.</w:t>
      </w:r>
    </w:p>
    <w:p>
      <w:pPr>
        <w:spacing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500"/>
        <w:gridCol w:w="5860"/>
      </w:tblGrid>
      <w:tr>
        <w:tc>
          <w:tcPr>
            <w:tcW w:type="dxa" w:w="3500"/>
            <w:tcBorders>
              <w:top w:val="single" w:color="FECACA" w:sz="1"/>
              <w:left w:val="single" w:color="FECACA" w:sz="1"/>
              <w:bottom w:val="single" w:color="FECACA" w:sz="1"/>
              <w:right w:val="single" w:color="FECACA" w:sz="1"/>
            </w:tcBorders>
            <w:shd w:fill="991B1B" w:val="clear"/>
            <w:tcMar>
              <w:top w:type="dxa" w:w="90"/>
              <w:left w:type="dxa" w:w="130"/>
              <w:bottom w:type="dxa" w:w="90"/>
              <w:right w:type="dxa" w:w="130"/>
            </w:tcMar>
          </w:tcPr>
          <w:p>
            <w:r>
              <w:rPr>
                <w:rFonts w:ascii="Arial" w:cs="Arial" w:eastAsia="Arial" w:hAnsi="Arial"/>
                <w:b/>
                <w:bCs/>
                <w:color w:val="FFFFFF"/>
                <w:sz w:val="20"/>
                <w:szCs w:val="20"/>
              </w:rPr>
              <w:t xml:space="preserve">Scenario</w:t>
            </w:r>
          </w:p>
        </w:tc>
        <w:tc>
          <w:tcPr>
            <w:tcW w:type="dxa" w:w="5860"/>
            <w:tcBorders>
              <w:top w:val="single" w:color="FECACA" w:sz="1"/>
              <w:left w:val="single" w:color="FECACA" w:sz="1"/>
              <w:bottom w:val="single" w:color="FECACA" w:sz="1"/>
              <w:right w:val="single" w:color="FECACA" w:sz="1"/>
            </w:tcBorders>
            <w:shd w:fill="991B1B" w:val="clear"/>
            <w:tcMar>
              <w:top w:type="dxa" w:w="90"/>
              <w:left w:type="dxa" w:w="130"/>
              <w:bottom w:type="dxa" w:w="90"/>
              <w:right w:type="dxa" w:w="130"/>
            </w:tcMar>
          </w:tcPr>
          <w:p>
            <w:r>
              <w:rPr>
                <w:rFonts w:ascii="Arial" w:cs="Arial" w:eastAsia="Arial" w:hAnsi="Arial"/>
                <w:b/>
                <w:bCs/>
                <w:color w:val="FFFFFF"/>
                <w:sz w:val="20"/>
                <w:szCs w:val="20"/>
              </w:rPr>
              <w:t xml:space="preserve">Why to wait — and what to do instead</w:t>
            </w:r>
          </w:p>
        </w:tc>
      </w:tr>
      <w:tr>
        <w:tc>
          <w:tcPr>
            <w:tcW w:type="dxa" w:w="3500"/>
            <w:tcBorders>
              <w:top w:val="single" w:color="FECACA" w:sz="1"/>
              <w:left w:val="single" w:color="FECACA" w:sz="1"/>
              <w:bottom w:val="single" w:color="FECACA" w:sz="1"/>
              <w:right w:val="single" w:color="FECACA" w:sz="1"/>
            </w:tcBorders>
            <w:shd w:fill="FEF2F2" w:val="clear"/>
            <w:tcMar>
              <w:top w:type="dxa" w:w="90"/>
              <w:left w:type="dxa" w:w="130"/>
              <w:bottom w:type="dxa" w:w="90"/>
              <w:right w:type="dxa" w:w="130"/>
            </w:tcMar>
          </w:tcPr>
          <w:p>
            <w:r>
              <w:rPr>
                <w:rFonts w:ascii="Georgia" w:cs="Georgia" w:eastAsia="Georgia" w:hAnsi="Georgia"/>
                <w:color w:val="991B1B"/>
                <w:sz w:val="20"/>
                <w:szCs w:val="20"/>
              </w:rPr>
              <w:t xml:space="preserve">No defined product or service scope yet</w:t>
            </w:r>
          </w:p>
        </w:tc>
        <w:tc>
          <w:tcPr>
            <w:tcW w:type="dxa" w:w="5860"/>
            <w:tcBorders>
              <w:top w:val="single" w:color="FECACA" w:sz="1"/>
              <w:left w:val="single" w:color="FECACA" w:sz="1"/>
              <w:bottom w:val="single" w:color="FECACA" w:sz="1"/>
              <w:right w:val="single" w:color="FECACA" w:sz="1"/>
            </w:tcBorders>
            <w:shd w:fill="FFFBEB" w:val="clear"/>
            <w:tcMar>
              <w:top w:type="dxa" w:w="90"/>
              <w:left w:type="dxa" w:w="130"/>
              <w:bottom w:type="dxa" w:w="90"/>
              <w:right w:type="dxa" w:w="130"/>
            </w:tcMar>
          </w:tcPr>
          <w:p>
            <w:r>
              <w:rPr>
                <w:rFonts w:ascii="Georgia" w:cs="Georgia" w:eastAsia="Georgia" w:hAnsi="Georgia"/>
                <w:color w:val="B45309"/>
                <w:sz w:val="20"/>
                <w:szCs w:val="20"/>
              </w:rPr>
              <w:t xml:space="preserve">Impossible to define ISMS scope without a stable operational boundary. Certification requires a defined, repeatable scope.</w:t>
            </w:r>
          </w:p>
        </w:tc>
      </w:tr>
      <w:tr>
        <w:tc>
          <w:tcPr>
            <w:tcW w:type="dxa" w:w="3500"/>
            <w:tcBorders>
              <w:top w:val="single" w:color="FECACA" w:sz="1"/>
              <w:left w:val="single" w:color="FECACA" w:sz="1"/>
              <w:bottom w:val="single" w:color="FECACA" w:sz="1"/>
              <w:right w:val="single" w:color="FECACA" w:sz="1"/>
            </w:tcBorders>
            <w:shd w:fill="FEF2F2" w:val="clear"/>
            <w:tcMar>
              <w:top w:type="dxa" w:w="90"/>
              <w:left w:type="dxa" w:w="130"/>
              <w:bottom w:type="dxa" w:w="90"/>
              <w:right w:type="dxa" w:w="130"/>
            </w:tcMar>
          </w:tcPr>
          <w:p>
            <w:r>
              <w:rPr>
                <w:rFonts w:ascii="Georgia" w:cs="Georgia" w:eastAsia="Georgia" w:hAnsi="Georgia"/>
                <w:color w:val="991B1B"/>
                <w:sz w:val="20"/>
                <w:szCs w:val="20"/>
              </w:rPr>
              <w:t xml:space="preserve">No management commitment or budget allocated</w:t>
            </w:r>
          </w:p>
        </w:tc>
        <w:tc>
          <w:tcPr>
            <w:tcW w:type="dxa" w:w="5860"/>
            <w:tcBorders>
              <w:top w:val="single" w:color="FECACA" w:sz="1"/>
              <w:left w:val="single" w:color="FECACA" w:sz="1"/>
              <w:bottom w:val="single" w:color="FECACA" w:sz="1"/>
              <w:right w:val="single" w:color="FECACA" w:sz="1"/>
            </w:tcBorders>
            <w:shd w:fill="FFFBEB" w:val="clear"/>
            <w:tcMar>
              <w:top w:type="dxa" w:w="90"/>
              <w:left w:type="dxa" w:w="130"/>
              <w:bottom w:type="dxa" w:w="90"/>
              <w:right w:type="dxa" w:w="130"/>
            </w:tcMar>
          </w:tcPr>
          <w:p>
            <w:r>
              <w:rPr>
                <w:rFonts w:ascii="Georgia" w:cs="Georgia" w:eastAsia="Georgia" w:hAnsi="Georgia"/>
                <w:color w:val="B45309"/>
                <w:sz w:val="20"/>
                <w:szCs w:val="20"/>
              </w:rPr>
              <w:t xml:space="preserve">ISMS implementation requires top management sponsorship. Starting without it produces a paper ISMS that fails audit.</w:t>
            </w:r>
          </w:p>
        </w:tc>
      </w:tr>
      <w:tr>
        <w:tc>
          <w:tcPr>
            <w:tcW w:type="dxa" w:w="3500"/>
            <w:tcBorders>
              <w:top w:val="single" w:color="FECACA" w:sz="1"/>
              <w:left w:val="single" w:color="FECACA" w:sz="1"/>
              <w:bottom w:val="single" w:color="FECACA" w:sz="1"/>
              <w:right w:val="single" w:color="FECACA" w:sz="1"/>
            </w:tcBorders>
            <w:shd w:fill="FEF2F2" w:val="clear"/>
            <w:tcMar>
              <w:top w:type="dxa" w:w="90"/>
              <w:left w:type="dxa" w:w="130"/>
              <w:bottom w:type="dxa" w:w="90"/>
              <w:right w:type="dxa" w:w="130"/>
            </w:tcMar>
          </w:tcPr>
          <w:p>
            <w:r>
              <w:rPr>
                <w:rFonts w:ascii="Georgia" w:cs="Georgia" w:eastAsia="Georgia" w:hAnsi="Georgia"/>
                <w:color w:val="991B1B"/>
                <w:sz w:val="20"/>
                <w:szCs w:val="20"/>
              </w:rPr>
              <w:t xml:space="preserve">Fewer than 5 full-time staff</w:t>
            </w:r>
          </w:p>
        </w:tc>
        <w:tc>
          <w:tcPr>
            <w:tcW w:type="dxa" w:w="5860"/>
            <w:tcBorders>
              <w:top w:val="single" w:color="FECACA" w:sz="1"/>
              <w:left w:val="single" w:color="FECACA" w:sz="1"/>
              <w:bottom w:val="single" w:color="FECACA" w:sz="1"/>
              <w:right w:val="single" w:color="FECACA" w:sz="1"/>
            </w:tcBorders>
            <w:shd w:fill="FFFBEB" w:val="clear"/>
            <w:tcMar>
              <w:top w:type="dxa" w:w="90"/>
              <w:left w:type="dxa" w:w="130"/>
              <w:bottom w:type="dxa" w:w="90"/>
              <w:right w:type="dxa" w:w="130"/>
            </w:tcMar>
          </w:tcPr>
          <w:p>
            <w:r>
              <w:rPr>
                <w:rFonts w:ascii="Georgia" w:cs="Georgia" w:eastAsia="Georgia" w:hAnsi="Georgia"/>
                <w:color w:val="B45309"/>
                <w:sz w:val="20"/>
                <w:szCs w:val="20"/>
              </w:rPr>
              <w:t xml:space="preserve">ISMS requires separation of duties and oversight that is operationally difficult below this threshold. Focus on CIS Controls IG1 first.</w:t>
            </w:r>
          </w:p>
        </w:tc>
      </w:tr>
      <w:tr>
        <w:tc>
          <w:tcPr>
            <w:tcW w:type="dxa" w:w="3500"/>
            <w:tcBorders>
              <w:top w:val="single" w:color="FECACA" w:sz="1"/>
              <w:left w:val="single" w:color="FECACA" w:sz="1"/>
              <w:bottom w:val="single" w:color="FECACA" w:sz="1"/>
              <w:right w:val="single" w:color="FECACA" w:sz="1"/>
            </w:tcBorders>
            <w:shd w:fill="FEF2F2" w:val="clear"/>
            <w:tcMar>
              <w:top w:type="dxa" w:w="90"/>
              <w:left w:type="dxa" w:w="130"/>
              <w:bottom w:type="dxa" w:w="90"/>
              <w:right w:type="dxa" w:w="130"/>
            </w:tcMar>
          </w:tcPr>
          <w:p>
            <w:r>
              <w:rPr>
                <w:rFonts w:ascii="Georgia" w:cs="Georgia" w:eastAsia="Georgia" w:hAnsi="Georgia"/>
                <w:color w:val="991B1B"/>
                <w:sz w:val="20"/>
                <w:szCs w:val="20"/>
              </w:rPr>
              <w:t xml:space="preserve">In active acquisition or major restructuring</w:t>
            </w:r>
          </w:p>
        </w:tc>
        <w:tc>
          <w:tcPr>
            <w:tcW w:type="dxa" w:w="5860"/>
            <w:tcBorders>
              <w:top w:val="single" w:color="FECACA" w:sz="1"/>
              <w:left w:val="single" w:color="FECACA" w:sz="1"/>
              <w:bottom w:val="single" w:color="FECACA" w:sz="1"/>
              <w:right w:val="single" w:color="FECACA" w:sz="1"/>
            </w:tcBorders>
            <w:shd w:fill="FFFBEB" w:val="clear"/>
            <w:tcMar>
              <w:top w:type="dxa" w:w="90"/>
              <w:left w:type="dxa" w:w="130"/>
              <w:bottom w:type="dxa" w:w="90"/>
              <w:right w:type="dxa" w:w="130"/>
            </w:tcMar>
          </w:tcPr>
          <w:p>
            <w:r>
              <w:rPr>
                <w:rFonts w:ascii="Georgia" w:cs="Georgia" w:eastAsia="Georgia" w:hAnsi="Georgia"/>
                <w:color w:val="B45309"/>
                <w:sz w:val="20"/>
                <w:szCs w:val="20"/>
              </w:rPr>
              <w:t xml:space="preserve">ISMS scope will change materially. Wait for organizational stability before defining scope and beginning documentation.</w:t>
            </w:r>
          </w:p>
        </w:tc>
      </w:tr>
      <w:tr>
        <w:tc>
          <w:tcPr>
            <w:tcW w:type="dxa" w:w="3500"/>
            <w:tcBorders>
              <w:top w:val="single" w:color="FECACA" w:sz="1"/>
              <w:left w:val="single" w:color="FECACA" w:sz="1"/>
              <w:bottom w:val="single" w:color="FECACA" w:sz="1"/>
              <w:right w:val="single" w:color="FECACA" w:sz="1"/>
            </w:tcBorders>
            <w:shd w:fill="FEF2F2" w:val="clear"/>
            <w:tcMar>
              <w:top w:type="dxa" w:w="90"/>
              <w:left w:type="dxa" w:w="130"/>
              <w:bottom w:type="dxa" w:w="90"/>
              <w:right w:type="dxa" w:w="130"/>
            </w:tcMar>
          </w:tcPr>
          <w:p>
            <w:r>
              <w:rPr>
                <w:rFonts w:ascii="Georgia" w:cs="Georgia" w:eastAsia="Georgia" w:hAnsi="Georgia"/>
                <w:color w:val="991B1B"/>
                <w:sz w:val="20"/>
                <w:szCs w:val="20"/>
              </w:rPr>
              <w:t xml:space="preserve">Primary goal is only to generate a certificate PDF</w:t>
            </w:r>
          </w:p>
        </w:tc>
        <w:tc>
          <w:tcPr>
            <w:tcW w:type="dxa" w:w="5860"/>
            <w:tcBorders>
              <w:top w:val="single" w:color="FECACA" w:sz="1"/>
              <w:left w:val="single" w:color="FECACA" w:sz="1"/>
              <w:bottom w:val="single" w:color="FECACA" w:sz="1"/>
              <w:right w:val="single" w:color="FECACA" w:sz="1"/>
            </w:tcBorders>
            <w:shd w:fill="FFFBEB" w:val="clear"/>
            <w:tcMar>
              <w:top w:type="dxa" w:w="90"/>
              <w:left w:type="dxa" w:w="130"/>
              <w:bottom w:type="dxa" w:w="90"/>
              <w:right w:type="dxa" w:w="130"/>
            </w:tcMar>
          </w:tcPr>
          <w:p>
            <w:r>
              <w:rPr>
                <w:rFonts w:ascii="Georgia" w:cs="Georgia" w:eastAsia="Georgia" w:hAnsi="Georgia"/>
                <w:color w:val="B45309"/>
                <w:sz w:val="20"/>
                <w:szCs w:val="20"/>
              </w:rPr>
              <w:t xml:space="preserve">Auditors detect hollow ISMS implementations. A certificate obtained this way provides liability without protection.</w:t>
            </w:r>
          </w:p>
        </w:tc>
      </w:tr>
    </w:tbl>
    <w:p>
      <w:pPr>
        <w:spacing w:after="16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FECACA" w:sz="1"/>
              <w:left w:val="single" w:color="991B1B" w:sz="12"/>
              <w:bottom w:val="single" w:color="FECACA" w:sz="1"/>
              <w:right w:val="single" w:color="FECACA" w:sz="1"/>
            </w:tcBorders>
            <w:shd w:fill="FEF2F2" w:val="clear"/>
            <w:tcMar>
              <w:top w:type="dxa" w:w="140"/>
              <w:left w:type="dxa" w:w="200"/>
              <w:bottom w:type="dxa" w:w="140"/>
              <w:right w:type="dxa" w:w="160"/>
            </w:tcMar>
          </w:tcPr>
          <w:p>
            <w:r>
              <w:rPr>
                <w:rFonts w:ascii="Georgia" w:cs="Georgia" w:eastAsia="Georgia" w:hAnsi="Georgia"/>
                <w:i/>
                <w:iCs/>
                <w:color w:val="991B1B"/>
                <w:sz w:val="21"/>
                <w:szCs w:val="21"/>
              </w:rPr>
              <w:t xml:space="preserve">A hollow ISMS is a liability. An organization that holds an ISO 27001 certificate but operates without a functioning ISMS has created a false assurance for its clients and regulators — and will have no documented incident response capability when a breach occurs. Auditors are increasingly sophisticated at distinguishing real from performative ISMS implementations. A certificate obtained through a minimal, documentation-heavy approach provides the worst outcome: compliance cost without security benefit.</w:t>
            </w:r>
          </w:p>
        </w:tc>
      </w:tr>
    </w:tbl>
    <w:p>
      <w:pPr>
        <w:spacing w:after="200"/>
      </w:pPr>
      <w:r>
        <w:t xml:space="preserve"/>
      </w:r>
    </w:p>
    <w:p>
      <w:pPr>
        <w:pStyle w:val="Heading2"/>
        <w:pBdr>
          <w:bottom w:val="single" w:color="2563A8" w:sz="4" w:space="4"/>
        </w:pBdr>
        <w:spacing w:after="160" w:before="400"/>
      </w:pPr>
      <w:r>
        <w:rPr>
          <w:rFonts w:ascii="Arial" w:cs="Arial" w:eastAsia="Arial" w:hAnsi="Arial"/>
          <w:b/>
          <w:bCs/>
          <w:color w:val="1B3A5C"/>
          <w:sz w:val="28"/>
          <w:szCs w:val="28"/>
        </w:rPr>
        <w:t xml:space="preserve">The Right Starting Conditions</w:t>
      </w:r>
    </w:p>
    <w:p>
      <w:pPr>
        <w:spacing w:after="80"/>
      </w:pPr>
      <w:r>
        <w:t xml:space="preserve"/>
      </w:r>
    </w:p>
    <w:p>
      <w:pPr>
        <w:spacing w:after="160" w:line="320"/>
        <w:jc w:val="both"/>
      </w:pPr>
      <w:r>
        <w:rPr>
          <w:rFonts w:ascii="Georgia" w:cs="Georgia" w:eastAsia="Georgia" w:hAnsi="Georgia"/>
          <w:color w:val="111827"/>
          <w:sz w:val="22"/>
          <w:szCs w:val="22"/>
        </w:rPr>
        <w:t xml:space="preserve">After all the sector profiles, size considerations, and readiness questions, the conditions that most reliably predict a successful ISO 27001 implementation come down to four factors. These are worth stating plainly.</w:t>
      </w:r>
    </w:p>
    <w:p>
      <w:pPr>
        <w:spacing w:after="80"/>
      </w:pPr>
      <w:r>
        <w:t xml:space="preserve"/>
      </w:r>
    </w:p>
    <w:p>
      <w:pPr>
        <w:pStyle w:val="Heading3"/>
        <w:spacing w:after="120" w:before="280"/>
      </w:pPr>
      <w:r>
        <w:rPr>
          <w:rFonts w:ascii="Arial" w:cs="Arial" w:eastAsia="Arial" w:hAnsi="Arial"/>
          <w:b/>
          <w:bCs/>
          <w:color w:val="2563A8"/>
          <w:sz w:val="24"/>
          <w:szCs w:val="24"/>
        </w:rPr>
        <w:t xml:space="preserve">1. Genuine Management Commitment</w:t>
      </w:r>
    </w:p>
    <w:p>
      <w:pPr>
        <w:spacing w:after="80"/>
      </w:pPr>
      <w:r>
        <w:t xml:space="preserve"/>
      </w:r>
    </w:p>
    <w:p>
      <w:pPr>
        <w:spacing w:after="160" w:line="320"/>
        <w:jc w:val="both"/>
      </w:pPr>
      <w:r>
        <w:rPr>
          <w:rFonts w:ascii="Georgia" w:cs="Georgia" w:eastAsia="Georgia" w:hAnsi="Georgia"/>
          <w:color w:val="111827"/>
          <w:sz w:val="22"/>
          <w:szCs w:val="22"/>
        </w:rPr>
        <w:t xml:space="preserve">Not a signed policy document — actual executive ownership of information security outcomes. Top management that understands why the ISMS exists, participates in management reviews, and treats security investment as a business priority rather than an IT cost. Without this, the ISMS becomes an IT department exercise that the rest of the organization ignores.</w:t>
      </w:r>
    </w:p>
    <w:p>
      <w:pPr>
        <w:spacing w:after="80"/>
      </w:pPr>
      <w:r>
        <w:t xml:space="preserve"/>
      </w:r>
    </w:p>
    <w:p>
      <w:pPr>
        <w:pStyle w:val="Heading3"/>
        <w:spacing w:after="120" w:before="280"/>
      </w:pPr>
      <w:r>
        <w:rPr>
          <w:rFonts w:ascii="Arial" w:cs="Arial" w:eastAsia="Arial" w:hAnsi="Arial"/>
          <w:b/>
          <w:bCs/>
          <w:color w:val="2563A8"/>
          <w:sz w:val="24"/>
          <w:szCs w:val="24"/>
        </w:rPr>
        <w:t xml:space="preserve">2. A Defined, Stable Scope</w:t>
      </w:r>
    </w:p>
    <w:p>
      <w:pPr>
        <w:spacing w:after="80"/>
      </w:pPr>
      <w:r>
        <w:t xml:space="preserve"/>
      </w:r>
    </w:p>
    <w:p>
      <w:pPr>
        <w:spacing w:after="160" w:line="320"/>
        <w:jc w:val="both"/>
      </w:pPr>
      <w:r>
        <w:rPr>
          <w:rFonts w:ascii="Georgia" w:cs="Georgia" w:eastAsia="Georgia" w:hAnsi="Georgia"/>
          <w:color w:val="111827"/>
          <w:sz w:val="22"/>
          <w:szCs w:val="22"/>
        </w:rPr>
        <w:t xml:space="preserve">The organization must know what it does — which services it delivers, which systems those services depend on, and which processes and locations are in scope. Organizations in product-market fit search, active restructuring, or rapid pivoting often cannot define a stable scope that will still be accurate twelve months later. Scope instability is one of the most common causes of implementation failure.</w:t>
      </w:r>
    </w:p>
    <w:p>
      <w:pPr>
        <w:spacing w:after="80"/>
      </w:pPr>
      <w:r>
        <w:t xml:space="preserve"/>
      </w:r>
    </w:p>
    <w:p>
      <w:pPr>
        <w:pStyle w:val="Heading3"/>
        <w:spacing w:after="120" w:before="280"/>
      </w:pPr>
      <w:r>
        <w:rPr>
          <w:rFonts w:ascii="Arial" w:cs="Arial" w:eastAsia="Arial" w:hAnsi="Arial"/>
          <w:b/>
          <w:bCs/>
          <w:color w:val="2563A8"/>
          <w:sz w:val="24"/>
          <w:szCs w:val="24"/>
        </w:rPr>
        <w:t xml:space="preserve">3. Allocated Resources</w:t>
      </w:r>
    </w:p>
    <w:p>
      <w:pPr>
        <w:spacing w:after="80"/>
      </w:pPr>
      <w:r>
        <w:t xml:space="preserve"/>
      </w:r>
    </w:p>
    <w:p>
      <w:pPr>
        <w:spacing w:after="160" w:line="320"/>
        <w:jc w:val="both"/>
      </w:pPr>
      <w:r>
        <w:rPr>
          <w:rFonts w:ascii="Georgia" w:cs="Georgia" w:eastAsia="Georgia" w:hAnsi="Georgia"/>
          <w:color w:val="111827"/>
          <w:sz w:val="22"/>
          <w:szCs w:val="22"/>
        </w:rPr>
        <w:t xml:space="preserve">Implementation requires real time from real people. At minimum: someone accountable for the ISMS (even part-time), management review participation from leadership, and budget for the gap assessment, policy development, control implementation gaps, and external audit. Organizations that attempt ISO 27001 as a zero-budget internal project nearly always produce paper compliance rather than operational security.</w:t>
      </w:r>
    </w:p>
    <w:p>
      <w:pPr>
        <w:spacing w:after="80"/>
      </w:pPr>
      <w:r>
        <w:t xml:space="preserve"/>
      </w:r>
    </w:p>
    <w:p>
      <w:pPr>
        <w:pStyle w:val="Heading3"/>
        <w:spacing w:after="120" w:before="280"/>
      </w:pPr>
      <w:r>
        <w:rPr>
          <w:rFonts w:ascii="Arial" w:cs="Arial" w:eastAsia="Arial" w:hAnsi="Arial"/>
          <w:b/>
          <w:bCs/>
          <w:color w:val="2563A8"/>
          <w:sz w:val="24"/>
          <w:szCs w:val="24"/>
        </w:rPr>
        <w:t xml:space="preserve">4. A Reason That Goes Beyond the Certificate</w:t>
      </w:r>
    </w:p>
    <w:p>
      <w:pPr>
        <w:spacing w:after="80"/>
      </w:pPr>
      <w:r>
        <w:t xml:space="preserve"/>
      </w:r>
    </w:p>
    <w:p>
      <w:pPr>
        <w:spacing w:after="160" w:line="320"/>
        <w:jc w:val="both"/>
      </w:pPr>
      <w:r>
        <w:rPr>
          <w:rFonts w:ascii="Georgia" w:cs="Georgia" w:eastAsia="Georgia" w:hAnsi="Georgia"/>
          <w:color w:val="111827"/>
          <w:sz w:val="22"/>
          <w:szCs w:val="22"/>
        </w:rPr>
        <w:t xml:space="preserve">The organizations that build the most effective ISMS implementations are those whose motivation connects to something real — a regulatory obligation they take seriously, a client relationship they value, a security incident they want to prevent from recurring, or a genuine belief that systematic risk management makes the business more resilient. The certificate is the output. The reason to build the ISMS has to be deeper than the certificate itself.</w:t>
      </w:r>
    </w:p>
    <w:p>
      <w:pPr>
        <w:spacing w:after="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99F6E4" w:sz="1"/>
              <w:left w:val="single" w:color="0F766E" w:sz="12"/>
              <w:bottom w:val="single" w:color="99F6E4" w:sz="1"/>
              <w:right w:val="single" w:color="99F6E4" w:sz="1"/>
            </w:tcBorders>
            <w:shd w:fill="F0FDFA" w:val="clear"/>
            <w:tcMar>
              <w:top w:type="dxa" w:w="140"/>
              <w:left w:type="dxa" w:w="200"/>
              <w:bottom w:type="dxa" w:w="140"/>
              <w:right w:type="dxa" w:w="160"/>
            </w:tcMar>
          </w:tcPr>
          <w:p>
            <w:r>
              <w:rPr>
                <w:rFonts w:ascii="Georgia" w:cs="Georgia" w:eastAsia="Georgia" w:hAnsi="Georgia"/>
                <w:i/>
                <w:iCs/>
                <w:color w:val="0F766E"/>
                <w:sz w:val="21"/>
                <w:szCs w:val="21"/>
              </w:rPr>
              <w:t xml:space="preserve">Bitlion's implementation experience: Across every ISO 27001 project we have supported in Indonesia's regulated sectors, the single most reliable predictor of implementation success is whether the CEO or COO is genuinely engaged — not delegating entirely to IT or compliance, but actively asking questions, reviewing results, and treating the ISMS as their program rather than their security team's program. This engagement cannot be manufactured through a project plan. It has to be real.</w:t>
            </w:r>
          </w:p>
        </w:tc>
      </w:tr>
    </w:tbl>
    <w:p>
      <w:pPr>
        <w:spacing w:after="200"/>
      </w:pPr>
      <w:r>
        <w:t xml:space="preserve"/>
      </w:r>
    </w:p>
    <w:p>
      <w:pPr>
        <w:pStyle w:val="Heading2"/>
        <w:pBdr>
          <w:bottom w:val="single" w:color="2563A8" w:sz="4" w:space="4"/>
        </w:pBdr>
        <w:spacing w:after="160" w:before="400"/>
      </w:pPr>
      <w:r>
        <w:rPr>
          <w:rFonts w:ascii="Arial" w:cs="Arial" w:eastAsia="Arial" w:hAnsi="Arial"/>
          <w:b/>
          <w:bCs/>
          <w:color w:val="1B3A5C"/>
          <w:sz w:val="28"/>
          <w:szCs w:val="28"/>
        </w:rPr>
        <w:t xml:space="preserve">Making the Decision: A Simple Framework</w:t>
      </w:r>
    </w:p>
    <w:p>
      <w:pPr>
        <w:spacing w:after="80"/>
      </w:pPr>
      <w:r>
        <w:t xml:space="preserve"/>
      </w:r>
    </w:p>
    <w:p>
      <w:pPr>
        <w:spacing w:after="160" w:line="320"/>
        <w:jc w:val="both"/>
      </w:pPr>
      <w:r>
        <w:rPr>
          <w:rFonts w:ascii="Georgia" w:cs="Georgia" w:eastAsia="Georgia" w:hAnsi="Georgia"/>
          <w:color w:val="111827"/>
          <w:sz w:val="22"/>
          <w:szCs w:val="22"/>
        </w:rPr>
        <w:t xml:space="preserve">After reading through sector profiles, size considerations, and readiness factors, the decision can be simplified to three questions:</w:t>
      </w:r>
    </w:p>
    <w:p>
      <w:pPr>
        <w:spacing w:after="100"/>
      </w:pPr>
      <w:r>
        <w:t xml:space="preserve"/>
      </w:r>
    </w:p>
    <w:p>
      <w:pPr>
        <w:pStyle w:val="ListParagraph"/>
        <w:numPr>
          <w:ilvl w:val="0"/>
          <w:numId w:val="2"/>
        </w:numPr>
        <w:spacing w:after="100"/>
      </w:pPr>
      <w:r>
        <w:rPr>
          <w:rFonts w:ascii="Georgia" w:cs="Georgia" w:eastAsia="Georgia" w:hAnsi="Georgia"/>
          <w:color w:val="111827"/>
          <w:sz w:val="22"/>
          <w:szCs w:val="22"/>
        </w:rPr>
        <w:t xml:space="preserve">Are you subject to Indonesian regulations that reference or require a documented ISMS? If yes, implement — the question is only of timeline and scope.</w:t>
      </w:r>
    </w:p>
    <w:p>
      <w:pPr>
        <w:pStyle w:val="ListParagraph"/>
        <w:numPr>
          <w:ilvl w:val="0"/>
          <w:numId w:val="2"/>
        </w:numPr>
        <w:spacing w:after="100"/>
      </w:pPr>
      <w:r>
        <w:rPr>
          <w:rFonts w:ascii="Georgia" w:cs="Georgia" w:eastAsia="Georgia" w:hAnsi="Georgia"/>
          <w:color w:val="111827"/>
          <w:sz w:val="22"/>
          <w:szCs w:val="22"/>
        </w:rPr>
        <w:t xml:space="preserve">Do you have or plan to have clients, partners, or procurement opportunities where ISO 27001 certification is required or strongly preferred? If yes, implement proactively — the cost of being blocked in a deal exceeds the cost of certification.</w:t>
      </w:r>
    </w:p>
    <w:p>
      <w:pPr>
        <w:pStyle w:val="ListParagraph"/>
        <w:numPr>
          <w:ilvl w:val="0"/>
          <w:numId w:val="2"/>
        </w:numPr>
        <w:spacing w:after="100"/>
      </w:pPr>
      <w:r>
        <w:rPr>
          <w:rFonts w:ascii="Georgia" w:cs="Georgia" w:eastAsia="Georgia" w:hAnsi="Georgia"/>
          <w:color w:val="111827"/>
          <w:sz w:val="22"/>
          <w:szCs w:val="22"/>
        </w:rPr>
        <w:t xml:space="preserve">Do you have management commitment, a defined scope, and allocated resources? If all three are present, start now. If any one is missing, address the gap before starting the implementation program.</w:t>
      </w:r>
    </w:p>
    <w:p>
      <w:pPr>
        <w:spacing w:after="160"/>
      </w:pPr>
      <w:r>
        <w:t xml:space="preserve"/>
      </w:r>
    </w:p>
    <w:p>
      <w:pPr>
        <w:spacing w:after="160" w:line="320"/>
        <w:jc w:val="both"/>
      </w:pPr>
      <w:r>
        <w:rPr>
          <w:rFonts w:ascii="Georgia" w:cs="Georgia" w:eastAsia="Georgia" w:hAnsi="Georgia"/>
          <w:color w:val="111827"/>
          <w:sz w:val="22"/>
          <w:szCs w:val="22"/>
        </w:rPr>
        <w:t xml:space="preserve">For most Indonesian organizations operating in or adjacent to regulated sectors in 2026, the answer to at least the first two questions is yes. The regulatory environment has shifted materially in the past 18 months, and the organizations that recognized this early and began implementation proactively are now in a substantially stronger position — both in regulatory standing and in market access — than those who are still evaluating whether the investment is justified.</w:t>
      </w:r>
    </w:p>
    <w:p>
      <w:pPr>
        <w:spacing w:after="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80"/>
        <w:gridCol w:w="8880"/>
      </w:tblGrid>
      <w:tr>
        <w:tc>
          <w:tcPr>
            <w:tcW w:type="dxa" w:w="480"/>
            <w:tcBorders>
              <w:top w:val="single" w:color="C7D9F0" w:sz="1"/>
              <w:left w:val="single" w:color="C7D9F0" w:sz="1"/>
              <w:bottom w:val="single" w:color="C7D9F0" w:sz="1"/>
              <w:right w:val="none" w:color="FFFFFF" w:sz="0"/>
            </w:tcBorders>
            <w:shd w:fill="2563A8" w:val="clear"/>
            <w:tcMar>
              <w:top w:type="dxa" w:w="120"/>
              <w:left w:type="dxa" w:w="160"/>
              <w:bottom w:type="dxa" w:w="120"/>
              <w:right w:type="dxa" w:w="80"/>
            </w:tcMar>
            <w:vAlign w:val="center"/>
          </w:tcPr>
          <w:p>
            <w:pPr>
              <w:jc w:val="center"/>
            </w:pPr>
            <w:r>
              <w:rPr>
                <w:rFonts w:ascii="Arial" w:cs="Arial" w:eastAsia="Arial" w:hAnsi="Arial"/>
                <w:b/>
                <w:bCs/>
                <w:color w:val="FFFFFF"/>
                <w:sz w:val="17"/>
                <w:szCs w:val="17"/>
              </w:rPr>
              <w:t xml:space="preserve">CLOSING THOUGHT</w:t>
            </w:r>
          </w:p>
        </w:tc>
        <w:tc>
          <w:tcPr>
            <w:tcW w:type="dxa" w:w="8880"/>
            <w:tcBorders>
              <w:top w:val="single" w:color="C7D9F0" w:sz="1"/>
              <w:left w:val="none" w:color="FFFFFF" w:sz="0"/>
              <w:bottom w:val="single" w:color="C7D9F0" w:sz="1"/>
              <w:right w:val="single" w:color="C7D9F0" w:sz="1"/>
            </w:tcBorders>
            <w:shd w:fill="EBF2FB" w:val="clear"/>
            <w:tcMar>
              <w:top w:type="dxa" w:w="120"/>
              <w:left w:type="dxa" w:w="160"/>
              <w:bottom w:type="dxa" w:w="120"/>
              <w:right w:type="dxa" w:w="160"/>
            </w:tcMar>
          </w:tcPr>
          <w:p>
            <w:r>
              <w:rPr>
                <w:rFonts w:ascii="Georgia" w:cs="Georgia" w:eastAsia="Georgia" w:hAnsi="Georgia"/>
                <w:i/>
                <w:iCs/>
                <w:color w:val="1B3A5C"/>
                <w:sz w:val="21"/>
                <w:szCs w:val="21"/>
              </w:rPr>
              <w:t xml:space="preserve">The best time to implement ISO 27001 was before your regulator or your largest client asked for it. The second-best time is now — with a clear scope, genuine management commitment, and an implementation approach scaled appropriately to your organization's size and maturity.</w:t>
            </w:r>
          </w:p>
        </w:tc>
      </w:tr>
    </w:tbl>
    <w:p>
      <w:pPr>
        <w:spacing w:after="20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80"/>
        <w:gridCol w:w="8880"/>
      </w:tblGrid>
      <w:tr>
        <w:tc>
          <w:tcPr>
            <w:tcW w:type="dxa" w:w="480"/>
            <w:tcBorders>
              <w:top w:val="single" w:color="C7D9F0" w:sz="1"/>
              <w:left w:val="single" w:color="C7D9F0" w:sz="1"/>
              <w:bottom w:val="single" w:color="C7D9F0" w:sz="1"/>
              <w:right w:val="none" w:color="FFFFFF" w:sz="0"/>
            </w:tcBorders>
            <w:shd w:fill="2563A8" w:val="clear"/>
            <w:tcMar>
              <w:top w:type="dxa" w:w="120"/>
              <w:left w:type="dxa" w:w="160"/>
              <w:bottom w:type="dxa" w:w="120"/>
              <w:right w:type="dxa" w:w="80"/>
            </w:tcMar>
            <w:vAlign w:val="center"/>
          </w:tcPr>
          <w:p>
            <w:pPr>
              <w:jc w:val="center"/>
            </w:pPr>
            <w:r>
              <w:rPr>
                <w:rFonts w:ascii="Arial" w:cs="Arial" w:eastAsia="Arial" w:hAnsi="Arial"/>
                <w:b/>
                <w:bCs/>
                <w:color w:val="FFFFFF"/>
                <w:sz w:val="17"/>
                <w:szCs w:val="17"/>
              </w:rPr>
              <w:t xml:space="preserve">NEXT ARTICLE</w:t>
            </w:r>
          </w:p>
        </w:tc>
        <w:tc>
          <w:tcPr>
            <w:tcW w:type="dxa" w:w="8880"/>
            <w:tcBorders>
              <w:top w:val="single" w:color="C7D9F0" w:sz="1"/>
              <w:left w:val="none" w:color="FFFFFF" w:sz="0"/>
              <w:bottom w:val="single" w:color="C7D9F0" w:sz="1"/>
              <w:right w:val="single" w:color="C7D9F0" w:sz="1"/>
            </w:tcBorders>
            <w:shd w:fill="EBF2FB" w:val="clear"/>
            <w:tcMar>
              <w:top w:type="dxa" w:w="120"/>
              <w:left w:type="dxa" w:w="160"/>
              <w:bottom w:type="dxa" w:w="120"/>
              <w:right w:type="dxa" w:w="160"/>
            </w:tcMar>
          </w:tcPr>
          <w:p>
            <w:r>
              <w:rPr>
                <w:rFonts w:ascii="Georgia" w:cs="Georgia" w:eastAsia="Georgia" w:hAnsi="Georgia"/>
                <w:i/>
                <w:iCs/>
                <w:color w:val="1B3A5C"/>
                <w:sz w:val="21"/>
                <w:szCs w:val="21"/>
              </w:rPr>
              <w:t xml:space="preserve">2.1 — Understanding the High-Level Structure (HLS/Annex SL): How ISO 27001 fits within the harmonized framework shared by other ISO management system standards.</w:t>
            </w:r>
          </w:p>
        </w:tc>
      </w:tr>
    </w:tbl>
    <w:p>
      <w:pPr>
        <w:spacing w:after="200"/>
      </w:pPr>
      <w:r>
        <w:t xml:space="preserve"/>
      </w:r>
    </w:p>
    <w:p>
      <w:pPr>
        <w:pBdr>
          <w:bottom w:val="single" w:color="D1D5DB" w:sz="2" w:space="1"/>
        </w:pBdr>
        <w:spacing w:after="200" w:before="200"/>
      </w:pPr>
      <w:r>
        <w:t xml:space="preserve"/>
      </w:r>
    </w:p>
    <w:p>
      <w:pPr>
        <w:spacing w:after="80"/>
      </w:pPr>
      <w:r>
        <w:t xml:space="preserve"/>
      </w:r>
    </w:p>
    <w:p>
      <w:pPr>
        <w:spacing w:after="40"/>
        <w:jc w:val="center"/>
      </w:pPr>
      <w:r>
        <w:rPr>
          <w:rFonts w:ascii="Arial" w:cs="Arial" w:eastAsia="Arial" w:hAnsi="Arial"/>
          <w:color w:val="9CA3AF"/>
          <w:sz w:val="17"/>
          <w:szCs w:val="17"/>
        </w:rPr>
        <w:t xml:space="preserve">ISO 27001 Information Security Management System Documentation  ·  Bitlion GRC Platform  ·  © 2026</w:t>
      </w:r>
    </w:p>
    <w:p>
      <w:pPr>
        <w:jc w:val="center"/>
      </w:pPr>
      <w:r>
        <w:rPr>
          <w:rFonts w:ascii="Arial" w:cs="Arial" w:eastAsia="Arial" w:hAnsi="Arial"/>
          <w:i/>
          <w:iCs/>
          <w:color w:val="9CA3AF"/>
          <w:sz w:val="17"/>
          <w:szCs w:val="17"/>
        </w:rPr>
        <w:t xml:space="preserve">This document is part of Bitlion's open compliance knowledge base. For implementation support, visit bitlion.ai</w:t>
      </w:r>
    </w:p>
    <w:sectPr>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Georgia" w:cs="Georgia" w:eastAsia="Georgia" w:hAnsi="Georgia"/>
        <w:color w:val="111827"/>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200" w:before="0"/>
      <w:outlineLvl w:val="0"/>
    </w:pPr>
    <w:rPr>
      <w:rFonts w:ascii="Arial" w:cs="Arial" w:eastAsia="Arial" w:hAnsi="Arial"/>
      <w:b/>
      <w:bCs/>
      <w:color w:val="1B3A5C"/>
      <w:sz w:val="44"/>
      <w:szCs w:val="44"/>
    </w:rPr>
  </w:style>
  <w:style w:type="paragraph" w:styleId="Heading2">
    <w:name w:val="Heading 2"/>
    <w:basedOn w:val="Normal"/>
    <w:next w:val="Normal"/>
    <w:qFormat/>
    <w:pPr>
      <w:spacing w:after="160" w:before="400"/>
      <w:outlineLvl w:val="1"/>
    </w:pPr>
    <w:rPr>
      <w:rFonts w:ascii="Arial" w:cs="Arial" w:eastAsia="Arial" w:hAnsi="Arial"/>
      <w:b/>
      <w:bCs/>
      <w:color w:val="1B3A5C"/>
      <w:sz w:val="28"/>
      <w:szCs w:val="28"/>
    </w:rPr>
  </w:style>
  <w:style w:type="paragraph" w:styleId="Heading3">
    <w:name w:val="Heading 3"/>
    <w:basedOn w:val="Normal"/>
    <w:next w:val="Normal"/>
    <w:qFormat/>
    <w:pPr>
      <w:spacing w:after="120" w:before="280"/>
      <w:outlineLvl w:val="2"/>
    </w:pPr>
    <w:rPr>
      <w:rFonts w:ascii="Arial" w:cs="Arial" w:eastAsia="Arial" w:hAnsi="Arial"/>
      <w:b/>
      <w:bCs/>
      <w:color w:val="2563A8"/>
      <w:sz w:val="24"/>
      <w:szCs w:val="24"/>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2026-03-12T03:36:40.767Z</dcterms:created>
  <dcterms:modified xsi:type="dcterms:W3CDTF">2026-03-12T03:36:40.767Z</dcterms:modified>
</cp:coreProperties>
</file>

<file path=docProps/custom.xml><?xml version="1.0" encoding="utf-8"?>
<Properties xmlns="http://schemas.openxmlformats.org/officeDocument/2006/custom-properties" xmlns:vt="http://schemas.openxmlformats.org/officeDocument/2006/docPropsVTypes"/>
</file>